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DB07" w14:textId="01E9F57F" w:rsidR="00827013" w:rsidRPr="00DD15F9" w:rsidRDefault="00827013" w:rsidP="00827013">
      <w:pPr>
        <w:jc w:val="center"/>
        <w:rPr>
          <w:rFonts w:ascii="Arial" w:hAnsi="Arial" w:cs="Arial"/>
          <w:b/>
          <w:color w:val="FF0000"/>
          <w:sz w:val="28"/>
          <w:szCs w:val="28"/>
        </w:rPr>
      </w:pPr>
      <w:r w:rsidRPr="00DD15F9">
        <w:rPr>
          <w:rFonts w:ascii="Arial" w:hAnsi="Arial" w:cs="Arial"/>
          <w:b/>
          <w:color w:val="FF0000"/>
          <w:sz w:val="28"/>
          <w:szCs w:val="28"/>
        </w:rPr>
        <w:t>Do not include this cover page in the use of this Note.</w:t>
      </w:r>
    </w:p>
    <w:p w14:paraId="4F823BD6" w14:textId="77777777" w:rsidR="00827013" w:rsidRPr="00DD15F9" w:rsidRDefault="00827013" w:rsidP="00827013">
      <w:pPr>
        <w:jc w:val="center"/>
        <w:rPr>
          <w:rFonts w:ascii="Arial" w:hAnsi="Arial" w:cs="Arial"/>
          <w:b/>
        </w:rPr>
      </w:pPr>
    </w:p>
    <w:p w14:paraId="523E6599" w14:textId="77777777" w:rsidR="00827013" w:rsidRPr="00DD15F9" w:rsidRDefault="00827013" w:rsidP="00827013">
      <w:pPr>
        <w:jc w:val="center"/>
        <w:rPr>
          <w:rFonts w:ascii="Arial" w:hAnsi="Arial" w:cs="Arial"/>
          <w:b/>
        </w:rPr>
      </w:pPr>
    </w:p>
    <w:p w14:paraId="3ECC7BCB" w14:textId="77777777" w:rsidR="00827013" w:rsidRPr="00DD15F9" w:rsidRDefault="00827013" w:rsidP="00827013">
      <w:pPr>
        <w:jc w:val="center"/>
        <w:rPr>
          <w:rFonts w:ascii="Arial" w:hAnsi="Arial" w:cs="Arial"/>
          <w:b/>
        </w:rPr>
      </w:pPr>
      <w:r w:rsidRPr="00DD15F9">
        <w:rPr>
          <w:rFonts w:ascii="Arial" w:hAnsi="Arial" w:cs="Arial"/>
          <w:b/>
        </w:rPr>
        <w:t>Affordable Housing Program – AHP Homeownership Set-Aside Programs: IDEA and WISH</w:t>
      </w:r>
    </w:p>
    <w:p w14:paraId="45B5F316" w14:textId="77777777" w:rsidR="00827013" w:rsidRPr="00DD15F9" w:rsidRDefault="00827013" w:rsidP="00827013">
      <w:pPr>
        <w:jc w:val="center"/>
        <w:rPr>
          <w:rFonts w:ascii="Arial" w:hAnsi="Arial" w:cs="Arial"/>
          <w:b/>
        </w:rPr>
      </w:pPr>
      <w:r w:rsidRPr="00DD15F9">
        <w:rPr>
          <w:rFonts w:ascii="Arial" w:hAnsi="Arial" w:cs="Arial"/>
          <w:b/>
        </w:rPr>
        <w:t>Promissory Note</w:t>
      </w:r>
    </w:p>
    <w:p w14:paraId="703B72BF" w14:textId="77777777" w:rsidR="00827013" w:rsidRPr="00DD15F9" w:rsidRDefault="00827013" w:rsidP="00827013">
      <w:pPr>
        <w:jc w:val="center"/>
        <w:rPr>
          <w:rFonts w:ascii="Arial" w:hAnsi="Arial" w:cs="Arial"/>
          <w:b/>
        </w:rPr>
      </w:pPr>
    </w:p>
    <w:p w14:paraId="33AE0ED6" w14:textId="77777777" w:rsidR="00827013" w:rsidRPr="00DD15F9" w:rsidRDefault="00827013" w:rsidP="00827013">
      <w:pPr>
        <w:rPr>
          <w:rFonts w:ascii="Arial" w:hAnsi="Arial" w:cs="Arial"/>
        </w:rPr>
      </w:pPr>
      <w:r w:rsidRPr="00DD15F9">
        <w:rPr>
          <w:rFonts w:ascii="Arial" w:hAnsi="Arial" w:cs="Arial"/>
        </w:rPr>
        <w:t>This form document has been prepared to address the minimum retention requirements of the AHP Regulations. The Federal Home Loan Bank of San Francisco makes no representation or warranty that a court will enforce these form documents in accordance with applicable state law. We strongly recommend that each member have its legal counsel review the documents to address any state law requirements, including but not limited to consumer credit laws, notary requirements, usury laws, recording procedures and requirements, and requirements for mortgage states. The final note and rider to the deed of trust must meet the requirements of your jurisdiction.</w:t>
      </w:r>
    </w:p>
    <w:p w14:paraId="377BEE8D" w14:textId="77777777" w:rsidR="00827013" w:rsidRPr="00DD15F9" w:rsidRDefault="00827013" w:rsidP="00827013">
      <w:pPr>
        <w:rPr>
          <w:rFonts w:ascii="Arial" w:hAnsi="Arial" w:cs="Arial"/>
        </w:rPr>
      </w:pPr>
    </w:p>
    <w:p w14:paraId="287B63A7" w14:textId="77777777" w:rsidR="00827013" w:rsidRPr="00DD15F9" w:rsidRDefault="00827013" w:rsidP="00827013">
      <w:pPr>
        <w:rPr>
          <w:rFonts w:ascii="Arial" w:hAnsi="Arial" w:cs="Arial"/>
        </w:rPr>
      </w:pPr>
      <w:r w:rsidRPr="00DD15F9">
        <w:rPr>
          <w:rFonts w:ascii="Arial" w:hAnsi="Arial" w:cs="Arial"/>
        </w:rPr>
        <w:t>All subsidies disbursed by the member to an individual homebuyer must be secured by a deed restriction or other legally enforceable retention agreement or instrument consistent with the AHP regulations. Refer to the AHP retention, repayment, and recovery provisions described in the AHP Direct Subsidy Agreement – Homeownership Set-Aside Program.</w:t>
      </w:r>
      <w:r w:rsidRPr="00DD15F9">
        <w:t xml:space="preserve"> </w:t>
      </w:r>
      <w:r w:rsidRPr="00DD15F9">
        <w:rPr>
          <w:rFonts w:ascii="Arial" w:hAnsi="Arial" w:cs="Arial"/>
        </w:rPr>
        <w:t>These documents address the minimum retention requirements of the AHP Regulation only.</w:t>
      </w:r>
    </w:p>
    <w:p w14:paraId="20AABBA3" w14:textId="77777777" w:rsidR="00827013" w:rsidRPr="00DD15F9" w:rsidRDefault="00827013" w:rsidP="00B7233F">
      <w:pPr>
        <w:jc w:val="center"/>
        <w:rPr>
          <w:rFonts w:ascii="Arial" w:hAnsi="Arial" w:cs="Arial"/>
          <w:b/>
          <w:sz w:val="20"/>
          <w:szCs w:val="20"/>
        </w:rPr>
        <w:sectPr w:rsidR="00827013" w:rsidRPr="00DD15F9" w:rsidSect="00827013">
          <w:footerReference w:type="default" r:id="rId8"/>
          <w:footerReference w:type="first" r:id="rId9"/>
          <w:pgSz w:w="12240" w:h="15840" w:code="1"/>
          <w:pgMar w:top="1080" w:right="720" w:bottom="630" w:left="720" w:header="720" w:footer="525" w:gutter="0"/>
          <w:pgNumType w:start="1"/>
          <w:cols w:space="720"/>
          <w:noEndnote/>
          <w:titlePg/>
          <w:docGrid w:linePitch="326"/>
        </w:sectPr>
      </w:pPr>
    </w:p>
    <w:p w14:paraId="50ED1802" w14:textId="4B831F52" w:rsidR="00CC22E7" w:rsidRPr="00423312" w:rsidRDefault="00295829" w:rsidP="00B7233F">
      <w:pPr>
        <w:jc w:val="center"/>
        <w:rPr>
          <w:rFonts w:ascii="Arial" w:hAnsi="Arial" w:cs="Arial"/>
          <w:sz w:val="20"/>
          <w:szCs w:val="20"/>
        </w:rPr>
      </w:pPr>
      <w:r w:rsidRPr="00423312">
        <w:rPr>
          <w:rFonts w:ascii="Arial" w:hAnsi="Arial" w:cs="Arial"/>
          <w:b/>
          <w:sz w:val="20"/>
          <w:szCs w:val="20"/>
        </w:rPr>
        <w:lastRenderedPageBreak/>
        <w:t>PROMISSORY NOTE</w:t>
      </w:r>
    </w:p>
    <w:p w14:paraId="32BEDC9E" w14:textId="77777777" w:rsidR="00295829" w:rsidRPr="00423312" w:rsidRDefault="00295829" w:rsidP="00A90A24">
      <w:pPr>
        <w:jc w:val="center"/>
        <w:rPr>
          <w:rFonts w:ascii="Arial" w:hAnsi="Arial" w:cs="Arial"/>
          <w:sz w:val="20"/>
          <w:szCs w:val="20"/>
        </w:rPr>
      </w:pPr>
      <w:r w:rsidRPr="00423312">
        <w:rPr>
          <w:rFonts w:ascii="Arial" w:hAnsi="Arial" w:cs="Arial"/>
          <w:sz w:val="20"/>
          <w:szCs w:val="20"/>
        </w:rPr>
        <w:t xml:space="preserve">(AHP </w:t>
      </w:r>
      <w:r w:rsidR="00096BD4" w:rsidRPr="00423312">
        <w:rPr>
          <w:rFonts w:ascii="Arial" w:hAnsi="Arial" w:cs="Arial"/>
          <w:sz w:val="20"/>
          <w:szCs w:val="20"/>
        </w:rPr>
        <w:t>Homeownership Set-Aside Program</w:t>
      </w:r>
      <w:r w:rsidR="00754067" w:rsidRPr="00423312">
        <w:rPr>
          <w:rFonts w:ascii="Arial" w:hAnsi="Arial" w:cs="Arial"/>
          <w:sz w:val="20"/>
          <w:szCs w:val="20"/>
        </w:rPr>
        <w:t>s:</w:t>
      </w:r>
      <w:r w:rsidR="00B7233F" w:rsidRPr="00423312">
        <w:rPr>
          <w:rFonts w:ascii="Arial" w:hAnsi="Arial" w:cs="Arial"/>
          <w:sz w:val="20"/>
          <w:szCs w:val="20"/>
        </w:rPr>
        <w:t xml:space="preserve"> </w:t>
      </w:r>
      <w:r w:rsidR="00754067" w:rsidRPr="00423312">
        <w:rPr>
          <w:rFonts w:ascii="Arial" w:hAnsi="Arial" w:cs="Arial"/>
          <w:sz w:val="20"/>
          <w:szCs w:val="20"/>
        </w:rPr>
        <w:t>IDEA and WISH</w:t>
      </w:r>
      <w:r w:rsidRPr="00423312">
        <w:rPr>
          <w:rFonts w:ascii="Arial" w:hAnsi="Arial" w:cs="Arial"/>
          <w:sz w:val="20"/>
          <w:szCs w:val="20"/>
        </w:rPr>
        <w:t>)</w:t>
      </w:r>
    </w:p>
    <w:p w14:paraId="5F2275B5" w14:textId="77777777" w:rsidR="00A90A24" w:rsidRPr="00423312" w:rsidRDefault="00A90A24" w:rsidP="005D4547">
      <w:pPr>
        <w:rPr>
          <w:rFonts w:ascii="Arial" w:hAnsi="Arial" w:cs="Arial"/>
          <w:sz w:val="20"/>
          <w:szCs w:val="20"/>
        </w:rPr>
      </w:pPr>
    </w:p>
    <w:tbl>
      <w:tblPr>
        <w:tblW w:w="0" w:type="auto"/>
        <w:tblLook w:val="0000" w:firstRow="0" w:lastRow="0" w:firstColumn="0" w:lastColumn="0" w:noHBand="0" w:noVBand="0"/>
      </w:tblPr>
      <w:tblGrid>
        <w:gridCol w:w="4739"/>
        <w:gridCol w:w="6061"/>
      </w:tblGrid>
      <w:tr w:rsidR="00295829" w:rsidRPr="00423312" w14:paraId="5FFE7A7B" w14:textId="77777777" w:rsidTr="00B7233F">
        <w:tc>
          <w:tcPr>
            <w:tcW w:w="4788" w:type="dxa"/>
          </w:tcPr>
          <w:p w14:paraId="480A9890" w14:textId="77777777" w:rsidR="00295829" w:rsidRPr="00423312" w:rsidRDefault="00295829" w:rsidP="00B7233F">
            <w:pPr>
              <w:rPr>
                <w:rFonts w:ascii="Arial" w:hAnsi="Arial" w:cs="Arial"/>
                <w:sz w:val="20"/>
                <w:szCs w:val="20"/>
              </w:rPr>
            </w:pPr>
            <w:r w:rsidRPr="00423312">
              <w:rPr>
                <w:rFonts w:ascii="Arial" w:hAnsi="Arial" w:cs="Arial"/>
                <w:sz w:val="20"/>
                <w:szCs w:val="20"/>
              </w:rPr>
              <w:t>$</w:t>
            </w:r>
            <w:bookmarkStart w:id="0" w:name="Text11"/>
            <w:r w:rsidR="00D90901" w:rsidRPr="00423312">
              <w:rPr>
                <w:rFonts w:ascii="Arial" w:hAnsi="Arial" w:cs="Arial"/>
                <w:sz w:val="20"/>
                <w:szCs w:val="20"/>
              </w:rPr>
              <w:t xml:space="preserve"> </w:t>
            </w:r>
            <w:r w:rsidR="006B4F03"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006B4F03" w:rsidRPr="00423312">
              <w:rPr>
                <w:rFonts w:ascii="Arial" w:hAnsi="Arial" w:cs="Arial"/>
                <w:b/>
                <w:color w:val="000000"/>
                <w:sz w:val="20"/>
              </w:rPr>
            </w:r>
            <w:r w:rsidR="006B4F03" w:rsidRPr="00423312">
              <w:rPr>
                <w:rFonts w:ascii="Arial" w:hAnsi="Arial" w:cs="Arial"/>
                <w:b/>
                <w:color w:val="000000"/>
                <w:sz w:val="20"/>
              </w:rPr>
              <w:fldChar w:fldCharType="separate"/>
            </w:r>
            <w:bookmarkStart w:id="1" w:name="_GoBack"/>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bookmarkEnd w:id="1"/>
            <w:r w:rsidR="006B4F03" w:rsidRPr="00423312">
              <w:rPr>
                <w:rFonts w:ascii="Arial" w:hAnsi="Arial" w:cs="Arial"/>
                <w:b/>
                <w:color w:val="000000"/>
                <w:sz w:val="20"/>
              </w:rPr>
              <w:fldChar w:fldCharType="end"/>
            </w:r>
            <w:bookmarkEnd w:id="0"/>
            <w:r w:rsidRPr="00423312">
              <w:rPr>
                <w:rFonts w:ascii="Arial" w:hAnsi="Arial" w:cs="Arial"/>
                <w:sz w:val="20"/>
                <w:szCs w:val="20"/>
              </w:rPr>
              <w:t xml:space="preserve"> </w:t>
            </w:r>
          </w:p>
        </w:tc>
        <w:tc>
          <w:tcPr>
            <w:tcW w:w="6120" w:type="dxa"/>
          </w:tcPr>
          <w:p w14:paraId="598BB729" w14:textId="77777777" w:rsidR="00295829" w:rsidRPr="00423312" w:rsidRDefault="006B4F03" w:rsidP="00B7233F">
            <w:pPr>
              <w:jc w:val="right"/>
              <w:rPr>
                <w:rFonts w:ascii="Arial" w:hAnsi="Arial" w:cs="Arial"/>
                <w:sz w:val="20"/>
                <w:szCs w:val="20"/>
              </w:rPr>
            </w:pPr>
            <w:r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Pr="00423312">
              <w:rPr>
                <w:rFonts w:ascii="Arial" w:hAnsi="Arial" w:cs="Arial"/>
                <w:b/>
                <w:color w:val="000000"/>
                <w:sz w:val="20"/>
              </w:rPr>
            </w:r>
            <w:r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Pr="00423312">
              <w:rPr>
                <w:rFonts w:ascii="Arial" w:hAnsi="Arial" w:cs="Arial"/>
                <w:b/>
                <w:color w:val="000000"/>
                <w:sz w:val="20"/>
              </w:rPr>
              <w:fldChar w:fldCharType="end"/>
            </w:r>
            <w:r w:rsidR="00295829" w:rsidRPr="00423312">
              <w:rPr>
                <w:rFonts w:ascii="Arial" w:hAnsi="Arial" w:cs="Arial"/>
                <w:b/>
                <w:sz w:val="20"/>
                <w:szCs w:val="20"/>
              </w:rPr>
              <w:t>, 20</w:t>
            </w:r>
            <w:r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Pr="00423312">
              <w:rPr>
                <w:rFonts w:ascii="Arial" w:hAnsi="Arial" w:cs="Arial"/>
                <w:b/>
                <w:color w:val="000000"/>
                <w:sz w:val="20"/>
              </w:rPr>
            </w:r>
            <w:r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Pr="00423312">
              <w:rPr>
                <w:rFonts w:ascii="Arial" w:hAnsi="Arial" w:cs="Arial"/>
                <w:b/>
                <w:color w:val="000000"/>
                <w:sz w:val="20"/>
              </w:rPr>
              <w:fldChar w:fldCharType="end"/>
            </w:r>
            <w:r w:rsidR="00295829" w:rsidRPr="00423312">
              <w:rPr>
                <w:rFonts w:ascii="Arial" w:hAnsi="Arial" w:cs="Arial"/>
                <w:b/>
                <w:sz w:val="20"/>
                <w:szCs w:val="20"/>
              </w:rPr>
              <w:br/>
            </w:r>
            <w:r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Pr="00423312">
              <w:rPr>
                <w:rFonts w:ascii="Arial" w:hAnsi="Arial" w:cs="Arial"/>
                <w:b/>
                <w:color w:val="000000"/>
                <w:sz w:val="20"/>
              </w:rPr>
            </w:r>
            <w:r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Pr="00423312">
              <w:rPr>
                <w:rFonts w:ascii="Arial" w:hAnsi="Arial" w:cs="Arial"/>
                <w:b/>
                <w:color w:val="000000"/>
                <w:sz w:val="20"/>
              </w:rPr>
              <w:fldChar w:fldCharType="end"/>
            </w:r>
            <w:r w:rsidR="00295829" w:rsidRPr="00423312">
              <w:rPr>
                <w:rFonts w:ascii="Arial" w:hAnsi="Arial" w:cs="Arial"/>
                <w:sz w:val="20"/>
                <w:szCs w:val="20"/>
              </w:rPr>
              <w:t xml:space="preserve">, </w:t>
            </w:r>
            <w:r w:rsidRPr="00423312">
              <w:rPr>
                <w:rFonts w:ascii="Arial" w:hAnsi="Arial" w:cs="Arial"/>
                <w:b/>
                <w:color w:val="000000"/>
                <w:sz w:val="20"/>
              </w:rPr>
              <w:fldChar w:fldCharType="begin">
                <w:ffData>
                  <w:name w:val="Text11"/>
                  <w:enabled/>
                  <w:calcOnExit w:val="0"/>
                  <w:textInput/>
                </w:ffData>
              </w:fldChar>
            </w:r>
            <w:r w:rsidR="00B57FD1" w:rsidRPr="00423312">
              <w:rPr>
                <w:rFonts w:ascii="Arial" w:hAnsi="Arial" w:cs="Arial"/>
                <w:b/>
                <w:color w:val="000000"/>
                <w:sz w:val="20"/>
              </w:rPr>
              <w:instrText xml:space="preserve"> FORMTEXT </w:instrText>
            </w:r>
            <w:r w:rsidRPr="00423312">
              <w:rPr>
                <w:rFonts w:ascii="Arial" w:hAnsi="Arial" w:cs="Arial"/>
                <w:b/>
                <w:color w:val="000000"/>
                <w:sz w:val="20"/>
              </w:rPr>
            </w:r>
            <w:r w:rsidRPr="00423312">
              <w:rPr>
                <w:rFonts w:ascii="Arial" w:hAnsi="Arial" w:cs="Arial"/>
                <w:b/>
                <w:color w:val="000000"/>
                <w:sz w:val="20"/>
              </w:rPr>
              <w:fldChar w:fldCharType="separate"/>
            </w:r>
            <w:r w:rsidR="00B57FD1" w:rsidRPr="00423312">
              <w:rPr>
                <w:rFonts w:ascii="Arial" w:hAnsi="Arial" w:cs="Arial"/>
                <w:b/>
                <w:color w:val="000000"/>
                <w:sz w:val="20"/>
              </w:rPr>
              <w:t>California</w:t>
            </w:r>
            <w:r w:rsidRPr="00423312">
              <w:rPr>
                <w:rFonts w:ascii="Arial" w:hAnsi="Arial" w:cs="Arial"/>
                <w:b/>
                <w:color w:val="000000"/>
                <w:sz w:val="20"/>
              </w:rPr>
              <w:fldChar w:fldCharType="end"/>
            </w:r>
          </w:p>
        </w:tc>
      </w:tr>
    </w:tbl>
    <w:p w14:paraId="40ADB1AD" w14:textId="5D003A1D" w:rsidR="00295829" w:rsidRPr="00423312" w:rsidRDefault="00295829" w:rsidP="00590258">
      <w:pPr>
        <w:spacing w:before="200" w:after="200"/>
        <w:rPr>
          <w:rFonts w:ascii="Arial" w:hAnsi="Arial" w:cs="Arial"/>
          <w:sz w:val="20"/>
          <w:szCs w:val="20"/>
        </w:rPr>
      </w:pPr>
      <w:r w:rsidRPr="00423312">
        <w:rPr>
          <w:rFonts w:ascii="Arial" w:hAnsi="Arial" w:cs="Arial"/>
          <w:sz w:val="20"/>
          <w:szCs w:val="20"/>
        </w:rPr>
        <w:t xml:space="preserve">FOR VALUE RECEIVED, </w:t>
      </w:r>
      <w:r w:rsidR="006B4F03"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006B4F03" w:rsidRPr="00423312">
        <w:rPr>
          <w:rFonts w:ascii="Arial" w:hAnsi="Arial" w:cs="Arial"/>
          <w:b/>
          <w:color w:val="000000"/>
          <w:sz w:val="20"/>
        </w:rPr>
      </w:r>
      <w:r w:rsidR="006B4F03"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6B4F03" w:rsidRPr="00423312">
        <w:rPr>
          <w:rFonts w:ascii="Arial" w:hAnsi="Arial" w:cs="Arial"/>
          <w:b/>
          <w:color w:val="000000"/>
          <w:sz w:val="20"/>
        </w:rPr>
        <w:fldChar w:fldCharType="end"/>
      </w:r>
      <w:r w:rsidRPr="00423312">
        <w:rPr>
          <w:rFonts w:ascii="Arial" w:hAnsi="Arial" w:cs="Arial"/>
          <w:sz w:val="20"/>
          <w:szCs w:val="20"/>
        </w:rPr>
        <w:t xml:space="preserve"> ("Owner" or “Borrower”), promises to pay to </w:t>
      </w:r>
      <w:r w:rsidR="006B4F03"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006B4F03" w:rsidRPr="00423312">
        <w:rPr>
          <w:rFonts w:ascii="Arial" w:hAnsi="Arial" w:cs="Arial"/>
          <w:b/>
          <w:color w:val="000000"/>
          <w:sz w:val="20"/>
        </w:rPr>
      </w:r>
      <w:r w:rsidR="006B4F03"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6B4F03" w:rsidRPr="00423312">
        <w:rPr>
          <w:rFonts w:ascii="Arial" w:hAnsi="Arial" w:cs="Arial"/>
          <w:b/>
          <w:color w:val="000000"/>
          <w:sz w:val="20"/>
        </w:rPr>
        <w:fldChar w:fldCharType="end"/>
      </w:r>
      <w:r w:rsidRPr="00423312">
        <w:rPr>
          <w:rFonts w:ascii="Arial" w:hAnsi="Arial" w:cs="Arial"/>
          <w:sz w:val="20"/>
          <w:szCs w:val="20"/>
        </w:rPr>
        <w:t xml:space="preserve">, a </w:t>
      </w:r>
      <w:r w:rsidR="006B4F03"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006B4F03" w:rsidRPr="00423312">
        <w:rPr>
          <w:rFonts w:ascii="Arial" w:hAnsi="Arial" w:cs="Arial"/>
          <w:b/>
          <w:color w:val="000000"/>
          <w:sz w:val="20"/>
        </w:rPr>
      </w:r>
      <w:r w:rsidR="006B4F03"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6B4F03" w:rsidRPr="00423312">
        <w:rPr>
          <w:rFonts w:ascii="Arial" w:hAnsi="Arial" w:cs="Arial"/>
          <w:b/>
          <w:color w:val="000000"/>
          <w:sz w:val="20"/>
        </w:rPr>
        <w:fldChar w:fldCharType="end"/>
      </w:r>
      <w:r w:rsidR="00B7233F" w:rsidRPr="00423312">
        <w:rPr>
          <w:rFonts w:ascii="Arial" w:hAnsi="Arial" w:cs="Arial"/>
          <w:sz w:val="20"/>
          <w:szCs w:val="20"/>
        </w:rPr>
        <w:t xml:space="preserve"> </w:t>
      </w:r>
      <w:r w:rsidRPr="00423312">
        <w:rPr>
          <w:rFonts w:ascii="Arial" w:hAnsi="Arial" w:cs="Arial"/>
          <w:sz w:val="20"/>
          <w:szCs w:val="20"/>
        </w:rPr>
        <w:t xml:space="preserve">or its successor as holder of this Note ("Lender"), or order, the principal sum of </w:t>
      </w:r>
      <w:r w:rsidR="006B4F03"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006B4F03" w:rsidRPr="00423312">
        <w:rPr>
          <w:rFonts w:ascii="Arial" w:hAnsi="Arial" w:cs="Arial"/>
          <w:b/>
          <w:color w:val="000000"/>
          <w:sz w:val="20"/>
        </w:rPr>
      </w:r>
      <w:r w:rsidR="006B4F03"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6B4F03" w:rsidRPr="00423312">
        <w:rPr>
          <w:rFonts w:ascii="Arial" w:hAnsi="Arial" w:cs="Arial"/>
          <w:b/>
          <w:color w:val="000000"/>
          <w:sz w:val="20"/>
        </w:rPr>
        <w:fldChar w:fldCharType="end"/>
      </w:r>
      <w:r w:rsidRPr="00423312">
        <w:rPr>
          <w:rFonts w:ascii="Arial" w:hAnsi="Arial" w:cs="Arial"/>
          <w:sz w:val="20"/>
          <w:szCs w:val="20"/>
        </w:rPr>
        <w:t xml:space="preserve"> Dollars ($</w:t>
      </w:r>
      <w:r w:rsidR="006B4F03"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006B4F03" w:rsidRPr="00423312">
        <w:rPr>
          <w:rFonts w:ascii="Arial" w:hAnsi="Arial" w:cs="Arial"/>
          <w:b/>
          <w:color w:val="000000"/>
          <w:sz w:val="20"/>
        </w:rPr>
      </w:r>
      <w:r w:rsidR="006B4F03"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6B4F03" w:rsidRPr="00423312">
        <w:rPr>
          <w:rFonts w:ascii="Arial" w:hAnsi="Arial" w:cs="Arial"/>
          <w:b/>
          <w:color w:val="000000"/>
          <w:sz w:val="20"/>
        </w:rPr>
        <w:fldChar w:fldCharType="end"/>
      </w:r>
      <w:r w:rsidRPr="00423312">
        <w:rPr>
          <w:rFonts w:ascii="Arial" w:hAnsi="Arial" w:cs="Arial"/>
          <w:sz w:val="20"/>
          <w:szCs w:val="20"/>
        </w:rPr>
        <w:t>), or so much thereof as may be advanced hereunder as provided below.</w:t>
      </w:r>
      <w:r w:rsidR="00B7233F" w:rsidRPr="00423312">
        <w:rPr>
          <w:rFonts w:ascii="Arial" w:hAnsi="Arial" w:cs="Arial"/>
          <w:sz w:val="20"/>
          <w:szCs w:val="20"/>
        </w:rPr>
        <w:t xml:space="preserve"> </w:t>
      </w:r>
      <w:r w:rsidRPr="00423312">
        <w:rPr>
          <w:rFonts w:ascii="Arial" w:hAnsi="Arial" w:cs="Arial"/>
          <w:sz w:val="20"/>
          <w:szCs w:val="20"/>
        </w:rPr>
        <w:t xml:space="preserve">The funds disbursed by Lender to Owner under this Promissory Note </w:t>
      </w:r>
      <w:r w:rsidR="00B7233F" w:rsidRPr="00423312">
        <w:rPr>
          <w:rFonts w:ascii="Arial" w:hAnsi="Arial" w:cs="Arial"/>
          <w:sz w:val="20"/>
          <w:szCs w:val="20"/>
        </w:rPr>
        <w:t>(“</w:t>
      </w:r>
      <w:r w:rsidRPr="00423312">
        <w:rPr>
          <w:rFonts w:ascii="Arial" w:hAnsi="Arial" w:cs="Arial"/>
          <w:sz w:val="20"/>
          <w:szCs w:val="20"/>
        </w:rPr>
        <w:t xml:space="preserve">Note”) were </w:t>
      </w:r>
      <w:r w:rsidR="00EE4FF8" w:rsidRPr="00423312">
        <w:rPr>
          <w:rFonts w:ascii="Arial" w:hAnsi="Arial" w:cs="Arial"/>
          <w:sz w:val="20"/>
          <w:szCs w:val="20"/>
        </w:rPr>
        <w:t xml:space="preserve">made available based upon a conditional commitment by the </w:t>
      </w:r>
      <w:r w:rsidR="000603A9">
        <w:rPr>
          <w:rFonts w:ascii="Arial" w:hAnsi="Arial" w:cs="Arial"/>
          <w:sz w:val="20"/>
          <w:szCs w:val="20"/>
        </w:rPr>
        <w:t>Bank</w:t>
      </w:r>
      <w:r w:rsidR="00EE4FF8" w:rsidRPr="00423312">
        <w:rPr>
          <w:rFonts w:ascii="Arial" w:hAnsi="Arial" w:cs="Arial"/>
          <w:sz w:val="20"/>
          <w:szCs w:val="20"/>
        </w:rPr>
        <w:t xml:space="preserve"> to disburse funds </w:t>
      </w:r>
      <w:r w:rsidRPr="00423312">
        <w:rPr>
          <w:rFonts w:ascii="Arial" w:hAnsi="Arial" w:cs="Arial"/>
          <w:sz w:val="20"/>
          <w:szCs w:val="20"/>
        </w:rPr>
        <w:t xml:space="preserve">to Lender </w:t>
      </w:r>
      <w:r w:rsidR="00B7233F" w:rsidRPr="00423312">
        <w:rPr>
          <w:rFonts w:ascii="Arial" w:hAnsi="Arial" w:cs="Arial"/>
          <w:sz w:val="20"/>
          <w:szCs w:val="20"/>
        </w:rPr>
        <w:t>pursuant</w:t>
      </w:r>
      <w:r w:rsidRPr="00423312">
        <w:rPr>
          <w:rFonts w:ascii="Arial" w:hAnsi="Arial" w:cs="Arial"/>
          <w:sz w:val="20"/>
          <w:szCs w:val="20"/>
        </w:rPr>
        <w:t xml:space="preserve"> to the Regulations governing the AHP.</w:t>
      </w:r>
    </w:p>
    <w:p w14:paraId="62861063"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Definitions</w:t>
      </w:r>
      <w:r w:rsidRPr="00423312">
        <w:rPr>
          <w:rFonts w:ascii="Arial" w:hAnsi="Arial" w:cs="Arial"/>
          <w:sz w:val="20"/>
          <w:szCs w:val="20"/>
        </w:rPr>
        <w:t>.</w:t>
      </w:r>
      <w:r w:rsidR="00B7233F" w:rsidRPr="00423312">
        <w:rPr>
          <w:rFonts w:ascii="Arial" w:hAnsi="Arial" w:cs="Arial"/>
          <w:sz w:val="20"/>
          <w:szCs w:val="20"/>
        </w:rPr>
        <w:t xml:space="preserve"> </w:t>
      </w:r>
      <w:r w:rsidRPr="00423312">
        <w:rPr>
          <w:rFonts w:ascii="Arial" w:hAnsi="Arial" w:cs="Arial"/>
          <w:sz w:val="20"/>
          <w:szCs w:val="20"/>
        </w:rPr>
        <w:t>As used in this Note, the following capitalized terms have the following meanings:</w:t>
      </w:r>
    </w:p>
    <w:p w14:paraId="4C2F9E4D" w14:textId="6CC26079" w:rsidR="00295829" w:rsidRPr="00423312" w:rsidRDefault="00295829"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AHP</w:t>
      </w:r>
      <w:r w:rsidRPr="00423312">
        <w:rPr>
          <w:rFonts w:ascii="Arial" w:hAnsi="Arial" w:cs="Arial"/>
          <w:sz w:val="20"/>
          <w:szCs w:val="20"/>
        </w:rPr>
        <w:t>” means the Federal Home Loan Bank Affordable Housing Program</w:t>
      </w:r>
      <w:r w:rsidR="00096BD4" w:rsidRPr="00423312">
        <w:rPr>
          <w:rFonts w:ascii="Arial" w:hAnsi="Arial" w:cs="Arial"/>
          <w:sz w:val="20"/>
          <w:szCs w:val="20"/>
        </w:rPr>
        <w:t xml:space="preserve"> Homeowner</w:t>
      </w:r>
      <w:r w:rsidR="005E6E68" w:rsidRPr="00423312">
        <w:rPr>
          <w:rFonts w:ascii="Arial" w:hAnsi="Arial" w:cs="Arial"/>
          <w:sz w:val="20"/>
          <w:szCs w:val="20"/>
        </w:rPr>
        <w:t>ship</w:t>
      </w:r>
      <w:r w:rsidR="00096BD4" w:rsidRPr="00423312">
        <w:rPr>
          <w:rFonts w:ascii="Arial" w:hAnsi="Arial" w:cs="Arial"/>
          <w:sz w:val="20"/>
          <w:szCs w:val="20"/>
        </w:rPr>
        <w:t xml:space="preserve"> Set-Aside Program</w:t>
      </w:r>
      <w:r w:rsidR="00EE4FF8" w:rsidRPr="00423312">
        <w:rPr>
          <w:rFonts w:ascii="Arial" w:hAnsi="Arial" w:cs="Arial"/>
          <w:sz w:val="20"/>
          <w:szCs w:val="20"/>
        </w:rPr>
        <w:t xml:space="preserve">, as set forth in the </w:t>
      </w:r>
      <w:r w:rsidR="000603A9">
        <w:rPr>
          <w:rFonts w:ascii="Arial" w:hAnsi="Arial" w:cs="Arial"/>
          <w:sz w:val="20"/>
          <w:szCs w:val="20"/>
        </w:rPr>
        <w:t>Bank</w:t>
      </w:r>
      <w:r w:rsidR="00EE4FF8" w:rsidRPr="00423312">
        <w:rPr>
          <w:rFonts w:ascii="Arial" w:hAnsi="Arial" w:cs="Arial"/>
          <w:sz w:val="20"/>
          <w:szCs w:val="20"/>
        </w:rPr>
        <w:t>’s Policies and Procedures</w:t>
      </w:r>
      <w:r w:rsidRPr="00423312">
        <w:rPr>
          <w:rFonts w:ascii="Arial" w:hAnsi="Arial" w:cs="Arial"/>
          <w:sz w:val="20"/>
          <w:szCs w:val="20"/>
        </w:rPr>
        <w:t>.</w:t>
      </w:r>
    </w:p>
    <w:p w14:paraId="59D8BEDF" w14:textId="29BE0A06" w:rsidR="00EE4FF8" w:rsidRPr="00423312" w:rsidRDefault="00EE4FF8"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AHP Agreement</w:t>
      </w:r>
      <w:r w:rsidRPr="00423312">
        <w:rPr>
          <w:rFonts w:ascii="Arial" w:hAnsi="Arial" w:cs="Arial"/>
          <w:sz w:val="20"/>
          <w:szCs w:val="20"/>
        </w:rPr>
        <w:t xml:space="preserve">” means the agreement between Lender and the </w:t>
      </w:r>
      <w:r w:rsidR="000603A9">
        <w:rPr>
          <w:rFonts w:ascii="Arial" w:hAnsi="Arial" w:cs="Arial"/>
          <w:sz w:val="20"/>
          <w:szCs w:val="20"/>
        </w:rPr>
        <w:t>Bank</w:t>
      </w:r>
      <w:r w:rsidRPr="00423312">
        <w:rPr>
          <w:rFonts w:ascii="Arial" w:hAnsi="Arial" w:cs="Arial"/>
          <w:sz w:val="20"/>
          <w:szCs w:val="20"/>
        </w:rPr>
        <w:t xml:space="preserve"> which establishes the conditions under which the funds are to be disbursed by the </w:t>
      </w:r>
      <w:r w:rsidR="000603A9">
        <w:rPr>
          <w:rFonts w:ascii="Arial" w:hAnsi="Arial" w:cs="Arial"/>
          <w:sz w:val="20"/>
          <w:szCs w:val="20"/>
        </w:rPr>
        <w:t>Bank</w:t>
      </w:r>
      <w:r w:rsidRPr="00423312">
        <w:rPr>
          <w:rFonts w:ascii="Arial" w:hAnsi="Arial" w:cs="Arial"/>
          <w:sz w:val="20"/>
          <w:szCs w:val="20"/>
        </w:rPr>
        <w:t xml:space="preserve"> to Lender for the Subsidy, including certain </w:t>
      </w:r>
      <w:r w:rsidR="000603A9">
        <w:rPr>
          <w:rFonts w:ascii="Arial" w:hAnsi="Arial" w:cs="Arial"/>
          <w:sz w:val="20"/>
          <w:szCs w:val="20"/>
        </w:rPr>
        <w:t>Bank</w:t>
      </w:r>
      <w:r w:rsidRPr="00423312">
        <w:rPr>
          <w:rFonts w:ascii="Arial" w:hAnsi="Arial" w:cs="Arial"/>
          <w:sz w:val="20"/>
          <w:szCs w:val="20"/>
        </w:rPr>
        <w:t xml:space="preserve"> monitoring requirements that the Owner agrees to comply with.</w:t>
      </w:r>
    </w:p>
    <w:p w14:paraId="6B1F551D" w14:textId="7FA073F7" w:rsidR="00295829" w:rsidRPr="00423312" w:rsidRDefault="00EE4FF8"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AHP Application</w:t>
      </w:r>
      <w:r w:rsidRPr="00423312">
        <w:rPr>
          <w:rFonts w:ascii="Arial" w:hAnsi="Arial" w:cs="Arial"/>
          <w:sz w:val="20"/>
          <w:szCs w:val="20"/>
        </w:rPr>
        <w:t xml:space="preserve">” means the application submitted to the </w:t>
      </w:r>
      <w:r w:rsidR="000603A9">
        <w:rPr>
          <w:rFonts w:ascii="Arial" w:hAnsi="Arial" w:cs="Arial"/>
          <w:sz w:val="20"/>
          <w:szCs w:val="20"/>
        </w:rPr>
        <w:t>Bank</w:t>
      </w:r>
      <w:r w:rsidRPr="00423312">
        <w:rPr>
          <w:rFonts w:ascii="Arial" w:hAnsi="Arial" w:cs="Arial"/>
          <w:sz w:val="20"/>
          <w:szCs w:val="20"/>
        </w:rPr>
        <w:t xml:space="preserve"> describing the proposed use of Subsidy and setting forth commitments which obligate the Lender to the </w:t>
      </w:r>
      <w:r w:rsidR="000603A9">
        <w:rPr>
          <w:rFonts w:ascii="Arial" w:hAnsi="Arial" w:cs="Arial"/>
          <w:sz w:val="20"/>
          <w:szCs w:val="20"/>
        </w:rPr>
        <w:t>Bank</w:t>
      </w:r>
      <w:r w:rsidRPr="00423312">
        <w:rPr>
          <w:rFonts w:ascii="Arial" w:hAnsi="Arial" w:cs="Arial"/>
          <w:sz w:val="20"/>
          <w:szCs w:val="20"/>
        </w:rPr>
        <w:t xml:space="preserve"> regarding the funds obtained by Lender.</w:t>
      </w:r>
    </w:p>
    <w:p w14:paraId="2C112D27" w14:textId="77777777" w:rsidR="00295829" w:rsidRPr="00423312" w:rsidRDefault="00295829"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AHP-Assisted Unit</w:t>
      </w:r>
      <w:r w:rsidRPr="00423312">
        <w:rPr>
          <w:rFonts w:ascii="Arial" w:hAnsi="Arial" w:cs="Arial"/>
          <w:sz w:val="20"/>
          <w:szCs w:val="20"/>
        </w:rPr>
        <w:t xml:space="preserve">” means the real property commonly known as: </w:t>
      </w:r>
      <w:r w:rsidR="006B4F03" w:rsidRPr="00423312">
        <w:rPr>
          <w:rFonts w:ascii="Arial" w:hAnsi="Arial" w:cs="Arial"/>
          <w:b/>
          <w:color w:val="000000"/>
          <w:sz w:val="20"/>
        </w:rPr>
        <w:fldChar w:fldCharType="begin">
          <w:ffData>
            <w:name w:val="Text11"/>
            <w:enabled/>
            <w:calcOnExit w:val="0"/>
            <w:textInput/>
          </w:ffData>
        </w:fldChar>
      </w:r>
      <w:r w:rsidR="00D90901" w:rsidRPr="00423312">
        <w:rPr>
          <w:rFonts w:ascii="Arial" w:hAnsi="Arial" w:cs="Arial"/>
          <w:b/>
          <w:color w:val="000000"/>
          <w:sz w:val="20"/>
        </w:rPr>
        <w:instrText xml:space="preserve"> FORMTEXT </w:instrText>
      </w:r>
      <w:r w:rsidR="006B4F03" w:rsidRPr="00423312">
        <w:rPr>
          <w:rFonts w:ascii="Arial" w:hAnsi="Arial" w:cs="Arial"/>
          <w:b/>
          <w:color w:val="000000"/>
          <w:sz w:val="20"/>
        </w:rPr>
      </w:r>
      <w:r w:rsidR="006B4F03" w:rsidRPr="00423312">
        <w:rPr>
          <w:rFonts w:ascii="Arial" w:hAnsi="Arial" w:cs="Arial"/>
          <w:b/>
          <w:color w:val="000000"/>
          <w:sz w:val="20"/>
        </w:rPr>
        <w:fldChar w:fldCharType="separate"/>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D90901" w:rsidRPr="00423312">
        <w:rPr>
          <w:rFonts w:ascii="Arial" w:hAnsi="Arial" w:cs="Arial"/>
          <w:b/>
          <w:color w:val="000000"/>
          <w:sz w:val="20"/>
        </w:rPr>
        <w:t> </w:t>
      </w:r>
      <w:r w:rsidR="006B4F03" w:rsidRPr="00423312">
        <w:rPr>
          <w:rFonts w:ascii="Arial" w:hAnsi="Arial" w:cs="Arial"/>
          <w:b/>
          <w:color w:val="000000"/>
          <w:sz w:val="20"/>
        </w:rPr>
        <w:fldChar w:fldCharType="end"/>
      </w:r>
      <w:r w:rsidRPr="00423312">
        <w:rPr>
          <w:rFonts w:ascii="Arial" w:hAnsi="Arial" w:cs="Arial"/>
          <w:sz w:val="20"/>
          <w:szCs w:val="20"/>
        </w:rPr>
        <w:t xml:space="preserve"> and more particularly described on Exhibit A of the Deed of Trust and the improvements now on or at any time constructed on such property.</w:t>
      </w:r>
    </w:p>
    <w:p w14:paraId="29FDEF23" w14:textId="77777777" w:rsidR="00295829" w:rsidRPr="00423312" w:rsidRDefault="00295829"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AHP Regulation</w:t>
      </w:r>
      <w:r w:rsidRPr="00423312">
        <w:rPr>
          <w:rFonts w:ascii="Arial" w:hAnsi="Arial" w:cs="Arial"/>
          <w:sz w:val="20"/>
          <w:szCs w:val="20"/>
        </w:rPr>
        <w:t xml:space="preserve">” means the regulations set forth at 12 C.F.R. Part </w:t>
      </w:r>
      <w:r w:rsidR="00F74748" w:rsidRPr="00423312">
        <w:rPr>
          <w:rFonts w:ascii="Arial" w:hAnsi="Arial" w:cs="Arial"/>
          <w:sz w:val="20"/>
          <w:szCs w:val="20"/>
        </w:rPr>
        <w:t>129</w:t>
      </w:r>
      <w:r w:rsidRPr="00423312">
        <w:rPr>
          <w:rFonts w:ascii="Arial" w:hAnsi="Arial" w:cs="Arial"/>
          <w:sz w:val="20"/>
          <w:szCs w:val="20"/>
        </w:rPr>
        <w:t xml:space="preserve">1, as amended from time to time, of the Federal Housing Finance </w:t>
      </w:r>
      <w:r w:rsidR="00D04AC5" w:rsidRPr="00423312">
        <w:rPr>
          <w:rFonts w:ascii="Arial" w:hAnsi="Arial" w:cs="Arial"/>
          <w:sz w:val="20"/>
          <w:szCs w:val="20"/>
        </w:rPr>
        <w:t>Agency</w:t>
      </w:r>
      <w:r w:rsidRPr="00423312">
        <w:rPr>
          <w:rFonts w:ascii="Arial" w:hAnsi="Arial" w:cs="Arial"/>
          <w:sz w:val="20"/>
          <w:szCs w:val="20"/>
        </w:rPr>
        <w:t xml:space="preserve"> governing the AHP.</w:t>
      </w:r>
    </w:p>
    <w:p w14:paraId="0DCBCD83" w14:textId="77777777" w:rsidR="00295829" w:rsidRPr="00423312" w:rsidRDefault="00295829"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Deed of Trust</w:t>
      </w:r>
      <w:r w:rsidRPr="00423312">
        <w:rPr>
          <w:rFonts w:ascii="Arial" w:hAnsi="Arial" w:cs="Arial"/>
          <w:sz w:val="20"/>
          <w:szCs w:val="20"/>
        </w:rPr>
        <w:t xml:space="preserve">” means the deed of trust or similar security instrument dated on or about the date of this Note, in favor of Lender and encumbering the AHP-Assisted Unit. </w:t>
      </w:r>
    </w:p>
    <w:p w14:paraId="5E97CC1E" w14:textId="498DBC19" w:rsidR="00295829" w:rsidRPr="00423312" w:rsidRDefault="00295829" w:rsidP="00CC22E7">
      <w:pPr>
        <w:spacing w:before="200" w:after="200"/>
        <w:ind w:left="576"/>
        <w:rPr>
          <w:rFonts w:ascii="Arial" w:hAnsi="Arial" w:cs="Arial"/>
          <w:sz w:val="20"/>
          <w:szCs w:val="20"/>
        </w:rPr>
      </w:pPr>
      <w:r w:rsidRPr="00423312">
        <w:rPr>
          <w:rFonts w:ascii="Arial" w:hAnsi="Arial" w:cs="Arial"/>
          <w:sz w:val="20"/>
          <w:szCs w:val="20"/>
        </w:rPr>
        <w:t>“</w:t>
      </w:r>
      <w:r w:rsidR="000603A9">
        <w:rPr>
          <w:rFonts w:ascii="Arial" w:hAnsi="Arial" w:cs="Arial"/>
          <w:b/>
          <w:sz w:val="20"/>
          <w:szCs w:val="20"/>
        </w:rPr>
        <w:t>Bank</w:t>
      </w:r>
      <w:r w:rsidRPr="00423312">
        <w:rPr>
          <w:rFonts w:ascii="Arial" w:hAnsi="Arial" w:cs="Arial"/>
          <w:sz w:val="20"/>
          <w:szCs w:val="20"/>
        </w:rPr>
        <w:t xml:space="preserve">” means the Federal Home Loan Bank of San Francisco. </w:t>
      </w:r>
    </w:p>
    <w:p w14:paraId="007E7737" w14:textId="27D7EA8D" w:rsidR="00EE4FF8" w:rsidRDefault="00EE4FF8" w:rsidP="00CC22E7">
      <w:pPr>
        <w:spacing w:before="200" w:after="200"/>
        <w:ind w:left="576"/>
        <w:rPr>
          <w:rFonts w:ascii="Arial" w:hAnsi="Arial" w:cs="Arial"/>
          <w:sz w:val="20"/>
          <w:szCs w:val="20"/>
        </w:rPr>
      </w:pPr>
      <w:r w:rsidRPr="00423312">
        <w:rPr>
          <w:rFonts w:ascii="Arial" w:hAnsi="Arial" w:cs="Arial"/>
          <w:sz w:val="20"/>
          <w:szCs w:val="20"/>
        </w:rPr>
        <w:t>“</w:t>
      </w:r>
      <w:r w:rsidR="000603A9">
        <w:rPr>
          <w:rFonts w:ascii="Arial" w:hAnsi="Arial" w:cs="Arial"/>
          <w:b/>
          <w:sz w:val="20"/>
          <w:szCs w:val="20"/>
        </w:rPr>
        <w:t>Bank</w:t>
      </w:r>
      <w:r w:rsidRPr="00423312">
        <w:rPr>
          <w:rFonts w:ascii="Arial" w:hAnsi="Arial" w:cs="Arial"/>
          <w:b/>
          <w:sz w:val="20"/>
          <w:szCs w:val="20"/>
        </w:rPr>
        <w:t xml:space="preserve"> Policies and Procedures</w:t>
      </w:r>
      <w:r w:rsidRPr="00423312">
        <w:rPr>
          <w:rFonts w:ascii="Arial" w:hAnsi="Arial" w:cs="Arial"/>
          <w:sz w:val="20"/>
          <w:szCs w:val="20"/>
        </w:rPr>
        <w:t>” mean</w:t>
      </w:r>
      <w:r w:rsidR="00CC22E7" w:rsidRPr="00423312">
        <w:rPr>
          <w:rFonts w:ascii="Arial" w:hAnsi="Arial" w:cs="Arial"/>
          <w:sz w:val="20"/>
          <w:szCs w:val="20"/>
        </w:rPr>
        <w:t>s</w:t>
      </w:r>
      <w:r w:rsidRPr="00423312">
        <w:rPr>
          <w:rFonts w:ascii="Arial" w:hAnsi="Arial" w:cs="Arial"/>
          <w:sz w:val="20"/>
          <w:szCs w:val="20"/>
        </w:rPr>
        <w:t xml:space="preserve"> the </w:t>
      </w:r>
      <w:r w:rsidR="000603A9">
        <w:rPr>
          <w:rFonts w:ascii="Arial" w:hAnsi="Arial" w:cs="Arial"/>
          <w:sz w:val="20"/>
          <w:szCs w:val="20"/>
        </w:rPr>
        <w:t>Bank</w:t>
      </w:r>
      <w:r w:rsidRPr="00423312">
        <w:rPr>
          <w:rFonts w:ascii="Arial" w:hAnsi="Arial" w:cs="Arial"/>
          <w:sz w:val="20"/>
          <w:szCs w:val="20"/>
        </w:rPr>
        <w:t>’s AHP Implementation Plan, and other AHP policies and procedures, as amended from time to time.</w:t>
      </w:r>
    </w:p>
    <w:p w14:paraId="6842CCCB" w14:textId="3B7BE9BD" w:rsidR="00E80738" w:rsidRPr="00E80738" w:rsidRDefault="0094777C" w:rsidP="00E80738">
      <w:pPr>
        <w:spacing w:before="200" w:after="200"/>
        <w:ind w:left="576"/>
        <w:rPr>
          <w:rFonts w:ascii="Arial" w:hAnsi="Arial" w:cs="Arial"/>
          <w:sz w:val="20"/>
          <w:szCs w:val="20"/>
        </w:rPr>
      </w:pPr>
      <w:r w:rsidRPr="00E52C66">
        <w:rPr>
          <w:rFonts w:ascii="Arial" w:hAnsi="Arial" w:cs="Arial"/>
          <w:b/>
          <w:sz w:val="20"/>
          <w:szCs w:val="20"/>
        </w:rPr>
        <w:t>“</w:t>
      </w:r>
      <w:r w:rsidR="00E80738" w:rsidRPr="00E52C66">
        <w:rPr>
          <w:rFonts w:ascii="Arial" w:hAnsi="Arial" w:cs="Arial"/>
          <w:b/>
          <w:sz w:val="20"/>
          <w:szCs w:val="20"/>
        </w:rPr>
        <w:t xml:space="preserve">Household </w:t>
      </w:r>
      <w:r w:rsidRPr="00E52C66">
        <w:rPr>
          <w:rFonts w:ascii="Arial" w:hAnsi="Arial" w:cs="Arial"/>
          <w:b/>
          <w:sz w:val="20"/>
          <w:szCs w:val="20"/>
        </w:rPr>
        <w:t>I</w:t>
      </w:r>
      <w:r w:rsidR="00E80738" w:rsidRPr="00E52C66">
        <w:rPr>
          <w:rFonts w:ascii="Arial" w:hAnsi="Arial" w:cs="Arial"/>
          <w:b/>
          <w:sz w:val="20"/>
          <w:szCs w:val="20"/>
        </w:rPr>
        <w:t>nvestment</w:t>
      </w:r>
      <w:r w:rsidRPr="00E52C66">
        <w:rPr>
          <w:rFonts w:ascii="Arial" w:hAnsi="Arial" w:cs="Arial"/>
          <w:b/>
          <w:sz w:val="20"/>
          <w:szCs w:val="20"/>
        </w:rPr>
        <w:t>”</w:t>
      </w:r>
      <w:r w:rsidR="00E80738" w:rsidRPr="00E80738">
        <w:rPr>
          <w:rFonts w:ascii="Arial" w:hAnsi="Arial" w:cs="Arial"/>
          <w:sz w:val="20"/>
          <w:szCs w:val="20"/>
        </w:rPr>
        <w:t xml:space="preserve"> means the following, to the extent paid by the household and documented (in the Closing Disclosure or other settlement statement, if applicable, or elsewhere) to the Bank or its designee:</w:t>
      </w:r>
    </w:p>
    <w:p w14:paraId="65B774C4" w14:textId="1AF06B4A" w:rsidR="00E80738" w:rsidRPr="00E80738" w:rsidRDefault="00E80738" w:rsidP="00E52C66">
      <w:pPr>
        <w:spacing w:before="200" w:after="200"/>
        <w:ind w:left="1436" w:hanging="860"/>
        <w:rPr>
          <w:rFonts w:ascii="Arial" w:hAnsi="Arial" w:cs="Arial"/>
          <w:sz w:val="20"/>
          <w:szCs w:val="20"/>
        </w:rPr>
      </w:pPr>
      <w:r w:rsidRPr="00E80738">
        <w:rPr>
          <w:rFonts w:ascii="Arial" w:hAnsi="Arial" w:cs="Arial"/>
          <w:sz w:val="20"/>
          <w:szCs w:val="20"/>
        </w:rPr>
        <w:t>(</w:t>
      </w:r>
      <w:r w:rsidR="00556F00">
        <w:rPr>
          <w:rFonts w:ascii="Arial" w:hAnsi="Arial" w:cs="Arial"/>
          <w:sz w:val="20"/>
          <w:szCs w:val="20"/>
        </w:rPr>
        <w:t>a</w:t>
      </w:r>
      <w:r w:rsidRPr="00E80738">
        <w:rPr>
          <w:rFonts w:ascii="Arial" w:hAnsi="Arial" w:cs="Arial"/>
          <w:sz w:val="20"/>
          <w:szCs w:val="20"/>
        </w:rPr>
        <w:t xml:space="preserve">) </w:t>
      </w:r>
      <w:r w:rsidR="0094777C">
        <w:rPr>
          <w:rFonts w:ascii="Arial" w:hAnsi="Arial" w:cs="Arial"/>
          <w:sz w:val="20"/>
          <w:szCs w:val="20"/>
        </w:rPr>
        <w:tab/>
      </w:r>
      <w:r w:rsidRPr="00E80738">
        <w:rPr>
          <w:rFonts w:ascii="Arial" w:hAnsi="Arial" w:cs="Arial"/>
          <w:sz w:val="20"/>
          <w:szCs w:val="20"/>
        </w:rPr>
        <w:t>Reasonable and customary costs paid by the household in connection with the purchase of the unit (including real estate broker’s commission, attorney’s fees, and title search fees);</w:t>
      </w:r>
    </w:p>
    <w:p w14:paraId="4A07680E" w14:textId="1450AF5B" w:rsidR="00E80738" w:rsidRPr="00E80738" w:rsidRDefault="00E80738" w:rsidP="00E80738">
      <w:pPr>
        <w:spacing w:before="200" w:after="200"/>
        <w:ind w:left="576"/>
        <w:rPr>
          <w:rFonts w:ascii="Arial" w:hAnsi="Arial" w:cs="Arial"/>
          <w:sz w:val="20"/>
          <w:szCs w:val="20"/>
        </w:rPr>
      </w:pPr>
      <w:r w:rsidRPr="00E80738">
        <w:rPr>
          <w:rFonts w:ascii="Arial" w:hAnsi="Arial" w:cs="Arial"/>
          <w:sz w:val="20"/>
          <w:szCs w:val="20"/>
        </w:rPr>
        <w:t>(</w:t>
      </w:r>
      <w:r w:rsidR="00556F00">
        <w:rPr>
          <w:rFonts w:ascii="Arial" w:hAnsi="Arial" w:cs="Arial"/>
          <w:sz w:val="20"/>
          <w:szCs w:val="20"/>
        </w:rPr>
        <w:t>b</w:t>
      </w:r>
      <w:r w:rsidRPr="00E80738">
        <w:rPr>
          <w:rFonts w:ascii="Arial" w:hAnsi="Arial" w:cs="Arial"/>
          <w:sz w:val="20"/>
          <w:szCs w:val="20"/>
        </w:rPr>
        <w:t xml:space="preserve">) </w:t>
      </w:r>
      <w:r w:rsidR="0094777C">
        <w:rPr>
          <w:rFonts w:ascii="Arial" w:hAnsi="Arial" w:cs="Arial"/>
          <w:sz w:val="20"/>
          <w:szCs w:val="20"/>
        </w:rPr>
        <w:tab/>
      </w:r>
      <w:r w:rsidRPr="00E80738">
        <w:rPr>
          <w:rFonts w:ascii="Arial" w:hAnsi="Arial" w:cs="Arial"/>
          <w:sz w:val="20"/>
          <w:szCs w:val="20"/>
        </w:rPr>
        <w:t>Any down payment paid in connection with the household’s purchase of the unit;</w:t>
      </w:r>
    </w:p>
    <w:p w14:paraId="192FCDA9" w14:textId="7663F5BF" w:rsidR="00E80738" w:rsidRPr="00E80738" w:rsidRDefault="00E80738" w:rsidP="00E52C66">
      <w:pPr>
        <w:spacing w:before="200" w:after="200"/>
        <w:ind w:left="1436" w:hanging="860"/>
        <w:rPr>
          <w:rFonts w:ascii="Arial" w:hAnsi="Arial" w:cs="Arial"/>
          <w:sz w:val="20"/>
          <w:szCs w:val="20"/>
        </w:rPr>
      </w:pPr>
      <w:r w:rsidRPr="00E80738">
        <w:rPr>
          <w:rFonts w:ascii="Arial" w:hAnsi="Arial" w:cs="Arial"/>
          <w:sz w:val="20"/>
          <w:szCs w:val="20"/>
        </w:rPr>
        <w:t>(</w:t>
      </w:r>
      <w:r w:rsidR="00556F00">
        <w:rPr>
          <w:rFonts w:ascii="Arial" w:hAnsi="Arial" w:cs="Arial"/>
          <w:sz w:val="20"/>
          <w:szCs w:val="20"/>
        </w:rPr>
        <w:t>c</w:t>
      </w:r>
      <w:r w:rsidRPr="00E80738">
        <w:rPr>
          <w:rFonts w:ascii="Arial" w:hAnsi="Arial" w:cs="Arial"/>
          <w:sz w:val="20"/>
          <w:szCs w:val="20"/>
        </w:rPr>
        <w:t xml:space="preserve">) </w:t>
      </w:r>
      <w:r w:rsidR="0094777C">
        <w:rPr>
          <w:rFonts w:ascii="Arial" w:hAnsi="Arial" w:cs="Arial"/>
          <w:sz w:val="20"/>
          <w:szCs w:val="20"/>
        </w:rPr>
        <w:tab/>
      </w:r>
      <w:r w:rsidRPr="00E80738">
        <w:rPr>
          <w:rFonts w:ascii="Arial" w:hAnsi="Arial" w:cs="Arial"/>
          <w:sz w:val="20"/>
          <w:szCs w:val="20"/>
        </w:rPr>
        <w:t>The cost of any capital improvements made after the household’s purchase of the unit until the time of the subsequent sale, transfer, assignment of title or deed, or refinancing; and</w:t>
      </w:r>
    </w:p>
    <w:p w14:paraId="214DDA99" w14:textId="73D7895C" w:rsidR="00E80738" w:rsidRPr="00423312" w:rsidRDefault="00E80738" w:rsidP="00E52C66">
      <w:pPr>
        <w:spacing w:before="200" w:after="200"/>
        <w:ind w:left="1436" w:hanging="860"/>
        <w:rPr>
          <w:rFonts w:ascii="Arial" w:hAnsi="Arial" w:cs="Arial"/>
          <w:sz w:val="20"/>
          <w:szCs w:val="20"/>
        </w:rPr>
      </w:pPr>
      <w:r w:rsidRPr="00E80738">
        <w:rPr>
          <w:rFonts w:ascii="Arial" w:hAnsi="Arial" w:cs="Arial"/>
          <w:sz w:val="20"/>
          <w:szCs w:val="20"/>
        </w:rPr>
        <w:t>(</w:t>
      </w:r>
      <w:r w:rsidR="00556F00">
        <w:rPr>
          <w:rFonts w:ascii="Arial" w:hAnsi="Arial" w:cs="Arial"/>
          <w:sz w:val="20"/>
          <w:szCs w:val="20"/>
        </w:rPr>
        <w:t>d</w:t>
      </w:r>
      <w:r w:rsidRPr="00E80738">
        <w:rPr>
          <w:rFonts w:ascii="Arial" w:hAnsi="Arial" w:cs="Arial"/>
          <w:sz w:val="20"/>
          <w:szCs w:val="20"/>
        </w:rPr>
        <w:t xml:space="preserve">) </w:t>
      </w:r>
      <w:r w:rsidR="0094777C">
        <w:rPr>
          <w:rFonts w:ascii="Arial" w:hAnsi="Arial" w:cs="Arial"/>
          <w:sz w:val="20"/>
          <w:szCs w:val="20"/>
        </w:rPr>
        <w:tab/>
      </w:r>
      <w:r w:rsidRPr="00E80738">
        <w:rPr>
          <w:rFonts w:ascii="Arial" w:hAnsi="Arial" w:cs="Arial"/>
          <w:sz w:val="20"/>
          <w:szCs w:val="20"/>
        </w:rPr>
        <w:t>The amount of principal on any mortgage senior to the AHP subsidy lien or other legally enforceable AHP subsidy repayment obligation repaid by the household.</w:t>
      </w:r>
    </w:p>
    <w:p w14:paraId="0EB02411" w14:textId="64BA4C02" w:rsidR="00EE4FF8" w:rsidRPr="00423312" w:rsidRDefault="00EE4FF8"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Lender</w:t>
      </w:r>
      <w:r w:rsidRPr="00423312">
        <w:rPr>
          <w:rFonts w:ascii="Arial" w:hAnsi="Arial" w:cs="Arial"/>
          <w:sz w:val="20"/>
          <w:szCs w:val="20"/>
        </w:rPr>
        <w:t xml:space="preserve">” means the member </w:t>
      </w:r>
      <w:r w:rsidR="00647E10" w:rsidRPr="00423312">
        <w:rPr>
          <w:rFonts w:ascii="Arial" w:hAnsi="Arial" w:cs="Arial"/>
          <w:sz w:val="20"/>
          <w:szCs w:val="20"/>
        </w:rPr>
        <w:t xml:space="preserve">of the </w:t>
      </w:r>
      <w:r w:rsidR="000603A9">
        <w:rPr>
          <w:rFonts w:ascii="Arial" w:hAnsi="Arial" w:cs="Arial"/>
          <w:sz w:val="20"/>
          <w:szCs w:val="20"/>
        </w:rPr>
        <w:t>Bank</w:t>
      </w:r>
      <w:r w:rsidR="00647E10" w:rsidRPr="00423312">
        <w:rPr>
          <w:rFonts w:ascii="Arial" w:hAnsi="Arial" w:cs="Arial"/>
          <w:sz w:val="20"/>
          <w:szCs w:val="20"/>
        </w:rPr>
        <w:t xml:space="preserve"> that is</w:t>
      </w:r>
      <w:r w:rsidRPr="00423312">
        <w:rPr>
          <w:rFonts w:ascii="Arial" w:hAnsi="Arial" w:cs="Arial"/>
          <w:sz w:val="20"/>
          <w:szCs w:val="20"/>
        </w:rPr>
        <w:t xml:space="preserve"> the payee of this Note and identified above as “Lender”.</w:t>
      </w:r>
    </w:p>
    <w:p w14:paraId="166464AA" w14:textId="77777777" w:rsidR="00295829" w:rsidRPr="00423312" w:rsidRDefault="00295829"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Loan</w:t>
      </w:r>
      <w:r w:rsidRPr="00423312">
        <w:rPr>
          <w:rFonts w:ascii="Arial" w:hAnsi="Arial" w:cs="Arial"/>
          <w:sz w:val="20"/>
          <w:szCs w:val="20"/>
        </w:rPr>
        <w:t>” means the advance of the AHP Subsidy evidenced by this Note.</w:t>
      </w:r>
      <w:r w:rsidR="00B7233F" w:rsidRPr="00423312">
        <w:rPr>
          <w:rFonts w:ascii="Arial" w:hAnsi="Arial" w:cs="Arial"/>
          <w:sz w:val="20"/>
          <w:szCs w:val="20"/>
        </w:rPr>
        <w:t xml:space="preserve"> </w:t>
      </w:r>
    </w:p>
    <w:p w14:paraId="24768D7D" w14:textId="25282E23" w:rsidR="00295829" w:rsidRDefault="00295829"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Loan Documents</w:t>
      </w:r>
      <w:r w:rsidRPr="00423312">
        <w:rPr>
          <w:rFonts w:ascii="Arial" w:hAnsi="Arial" w:cs="Arial"/>
          <w:sz w:val="20"/>
          <w:szCs w:val="20"/>
        </w:rPr>
        <w:t>" means this Note, the Deed of Trust, the Retention Agreement and all other documents relating to or securing this Note (as renewed, amended, modified, restated and extended from time to time).</w:t>
      </w:r>
    </w:p>
    <w:p w14:paraId="748D60D3" w14:textId="34B8B142" w:rsidR="00071427" w:rsidRDefault="00551555" w:rsidP="00071427">
      <w:pPr>
        <w:spacing w:before="200"/>
        <w:ind w:left="576"/>
        <w:rPr>
          <w:rFonts w:ascii="Arial" w:hAnsi="Arial" w:cs="Arial"/>
          <w:sz w:val="20"/>
          <w:szCs w:val="20"/>
        </w:rPr>
      </w:pPr>
      <w:r w:rsidRPr="00E52C66">
        <w:rPr>
          <w:rFonts w:ascii="Arial" w:hAnsi="Arial" w:cs="Arial"/>
          <w:b/>
          <w:sz w:val="20"/>
          <w:szCs w:val="20"/>
        </w:rPr>
        <w:t>“Net Proceeds”</w:t>
      </w:r>
      <w:r>
        <w:rPr>
          <w:rFonts w:ascii="Arial" w:hAnsi="Arial" w:cs="Arial"/>
          <w:sz w:val="20"/>
          <w:szCs w:val="20"/>
        </w:rPr>
        <w:t xml:space="preserve"> means</w:t>
      </w:r>
      <w:r w:rsidR="003874BE">
        <w:rPr>
          <w:rFonts w:ascii="Arial" w:hAnsi="Arial" w:cs="Arial"/>
          <w:sz w:val="20"/>
          <w:szCs w:val="20"/>
        </w:rPr>
        <w:t>:</w:t>
      </w:r>
    </w:p>
    <w:p w14:paraId="2C74F995" w14:textId="77777777" w:rsidR="002851A4" w:rsidRDefault="002851A4" w:rsidP="00E52C66">
      <w:pPr>
        <w:spacing w:before="200"/>
        <w:ind w:left="576"/>
      </w:pPr>
    </w:p>
    <w:p w14:paraId="295AB5D9" w14:textId="53F9668C" w:rsidR="003874BE" w:rsidRPr="003874BE" w:rsidRDefault="003874BE" w:rsidP="00E52C66">
      <w:pPr>
        <w:spacing w:after="200"/>
        <w:ind w:left="1436" w:hanging="860"/>
        <w:rPr>
          <w:rFonts w:ascii="Arial" w:hAnsi="Arial" w:cs="Arial"/>
          <w:sz w:val="20"/>
          <w:szCs w:val="20"/>
        </w:rPr>
      </w:pPr>
      <w:r w:rsidRPr="003874BE">
        <w:rPr>
          <w:rFonts w:ascii="Arial" w:hAnsi="Arial" w:cs="Arial"/>
          <w:sz w:val="20"/>
          <w:szCs w:val="20"/>
        </w:rPr>
        <w:lastRenderedPageBreak/>
        <w:t>(</w:t>
      </w:r>
      <w:r w:rsidR="00071427">
        <w:rPr>
          <w:rFonts w:ascii="Arial" w:hAnsi="Arial" w:cs="Arial"/>
          <w:sz w:val="20"/>
          <w:szCs w:val="20"/>
        </w:rPr>
        <w:t>a</w:t>
      </w:r>
      <w:r w:rsidRPr="003874BE">
        <w:rPr>
          <w:rFonts w:ascii="Arial" w:hAnsi="Arial" w:cs="Arial"/>
          <w:sz w:val="20"/>
          <w:szCs w:val="20"/>
        </w:rPr>
        <w:t>)</w:t>
      </w:r>
      <w:r w:rsidR="0094777C">
        <w:rPr>
          <w:rFonts w:ascii="Arial" w:hAnsi="Arial" w:cs="Arial"/>
          <w:sz w:val="20"/>
          <w:szCs w:val="20"/>
        </w:rPr>
        <w:tab/>
      </w:r>
      <w:r w:rsidRPr="003874BE">
        <w:rPr>
          <w:rFonts w:ascii="Arial" w:hAnsi="Arial" w:cs="Arial"/>
          <w:sz w:val="20"/>
          <w:szCs w:val="20"/>
        </w:rPr>
        <w:t>In the case of a sale, transfer, or assignment of title or deed of an AHP-</w:t>
      </w:r>
      <w:r w:rsidR="0076539C">
        <w:rPr>
          <w:rFonts w:ascii="Arial" w:hAnsi="Arial" w:cs="Arial"/>
          <w:sz w:val="20"/>
          <w:szCs w:val="20"/>
        </w:rPr>
        <w:t>A</w:t>
      </w:r>
      <w:r w:rsidRPr="003874BE">
        <w:rPr>
          <w:rFonts w:ascii="Arial" w:hAnsi="Arial" w:cs="Arial"/>
          <w:sz w:val="20"/>
          <w:szCs w:val="20"/>
        </w:rPr>
        <w:t>ssisted unit by a household during the AHP five-year retention period, the sales price minus reasonable and customary costs paid by the household in connection with the transaction (including real estate broker’s commission, attorney’s fees, and title search fees) and outstanding debt superior to the AHP subsidy lien or other legally enforceable AHP subsidy repayment obligation;</w:t>
      </w:r>
    </w:p>
    <w:p w14:paraId="117ECAF6" w14:textId="15C50136" w:rsidR="00551555" w:rsidRDefault="003874BE" w:rsidP="00E52C66">
      <w:pPr>
        <w:spacing w:before="200" w:after="200"/>
        <w:ind w:left="1436" w:hanging="860"/>
        <w:rPr>
          <w:rFonts w:ascii="Arial" w:hAnsi="Arial" w:cs="Arial"/>
          <w:sz w:val="20"/>
          <w:szCs w:val="20"/>
        </w:rPr>
      </w:pPr>
      <w:r w:rsidRPr="003874BE">
        <w:rPr>
          <w:rFonts w:ascii="Arial" w:hAnsi="Arial" w:cs="Arial"/>
          <w:sz w:val="20"/>
          <w:szCs w:val="20"/>
        </w:rPr>
        <w:t>(</w:t>
      </w:r>
      <w:r w:rsidR="00071427">
        <w:rPr>
          <w:rFonts w:ascii="Arial" w:hAnsi="Arial" w:cs="Arial"/>
          <w:sz w:val="20"/>
          <w:szCs w:val="20"/>
        </w:rPr>
        <w:t>b</w:t>
      </w:r>
      <w:r w:rsidRPr="003874BE">
        <w:rPr>
          <w:rFonts w:ascii="Arial" w:hAnsi="Arial" w:cs="Arial"/>
          <w:sz w:val="20"/>
          <w:szCs w:val="20"/>
        </w:rPr>
        <w:t xml:space="preserve">) </w:t>
      </w:r>
      <w:r w:rsidR="0094777C">
        <w:rPr>
          <w:rFonts w:ascii="Arial" w:hAnsi="Arial" w:cs="Arial"/>
          <w:sz w:val="20"/>
          <w:szCs w:val="20"/>
        </w:rPr>
        <w:tab/>
      </w:r>
      <w:r w:rsidRPr="003874BE">
        <w:rPr>
          <w:rFonts w:ascii="Arial" w:hAnsi="Arial" w:cs="Arial"/>
          <w:sz w:val="20"/>
          <w:szCs w:val="20"/>
        </w:rPr>
        <w:t>In the case of a refinancing of an AHP-</w:t>
      </w:r>
      <w:r w:rsidR="0076539C">
        <w:rPr>
          <w:rFonts w:ascii="Arial" w:hAnsi="Arial" w:cs="Arial"/>
          <w:sz w:val="20"/>
          <w:szCs w:val="20"/>
        </w:rPr>
        <w:t>A</w:t>
      </w:r>
      <w:r w:rsidRPr="003874BE">
        <w:rPr>
          <w:rFonts w:ascii="Arial" w:hAnsi="Arial" w:cs="Arial"/>
          <w:sz w:val="20"/>
          <w:szCs w:val="20"/>
        </w:rPr>
        <w:t>ssisted unit by a household during the AHP five-year retention period, the principal amount of the new mortgage minus reasonable and customary costs paid by the household in connection with the transaction (including attorney’s fees and title search fees) and the principal amount of the refinanced mortgage.</w:t>
      </w:r>
    </w:p>
    <w:p w14:paraId="731EA752" w14:textId="77777777" w:rsidR="00EE4FF8" w:rsidRPr="00423312" w:rsidRDefault="00CC22E7" w:rsidP="00CC22E7">
      <w:pPr>
        <w:spacing w:before="200" w:after="200"/>
        <w:ind w:left="576"/>
        <w:rPr>
          <w:rFonts w:ascii="Arial" w:hAnsi="Arial" w:cs="Arial"/>
          <w:sz w:val="20"/>
          <w:szCs w:val="20"/>
        </w:rPr>
      </w:pPr>
      <w:r w:rsidRPr="00423312">
        <w:rPr>
          <w:rFonts w:ascii="Arial" w:hAnsi="Arial" w:cs="Arial"/>
          <w:sz w:val="20"/>
          <w:szCs w:val="20"/>
        </w:rPr>
        <w:t>“</w:t>
      </w:r>
      <w:r w:rsidR="00EE4FF8" w:rsidRPr="00423312">
        <w:rPr>
          <w:rFonts w:ascii="Arial" w:hAnsi="Arial" w:cs="Arial"/>
          <w:b/>
          <w:sz w:val="20"/>
          <w:szCs w:val="20"/>
        </w:rPr>
        <w:t>Owner</w:t>
      </w:r>
      <w:r w:rsidR="00EE4FF8" w:rsidRPr="00423312">
        <w:rPr>
          <w:rFonts w:ascii="Arial" w:hAnsi="Arial" w:cs="Arial"/>
          <w:sz w:val="20"/>
          <w:szCs w:val="20"/>
        </w:rPr>
        <w:t>” means the recipient of the AHP Subsidy and defined above as “Owner” or “Borrower.”</w:t>
      </w:r>
    </w:p>
    <w:p w14:paraId="7A05F21A" w14:textId="77777777" w:rsidR="00295829" w:rsidRPr="00423312" w:rsidRDefault="00295829"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Retention</w:t>
      </w:r>
      <w:r w:rsidRPr="00423312">
        <w:rPr>
          <w:rFonts w:ascii="Arial" w:hAnsi="Arial" w:cs="Arial"/>
          <w:sz w:val="20"/>
          <w:szCs w:val="20"/>
        </w:rPr>
        <w:t xml:space="preserve"> </w:t>
      </w:r>
      <w:r w:rsidRPr="00423312">
        <w:rPr>
          <w:rFonts w:ascii="Arial" w:hAnsi="Arial" w:cs="Arial"/>
          <w:b/>
          <w:sz w:val="20"/>
          <w:szCs w:val="20"/>
        </w:rPr>
        <w:t>Agreement</w:t>
      </w:r>
      <w:r w:rsidRPr="00423312">
        <w:rPr>
          <w:rFonts w:ascii="Arial" w:hAnsi="Arial" w:cs="Arial"/>
          <w:sz w:val="20"/>
          <w:szCs w:val="20"/>
        </w:rPr>
        <w:t xml:space="preserve">” means </w:t>
      </w:r>
      <w:r w:rsidR="00EE4FF8" w:rsidRPr="00423312">
        <w:rPr>
          <w:rFonts w:ascii="Arial" w:hAnsi="Arial" w:cs="Arial"/>
          <w:sz w:val="20"/>
          <w:szCs w:val="20"/>
        </w:rPr>
        <w:t xml:space="preserve">the </w:t>
      </w:r>
      <w:r w:rsidRPr="00423312">
        <w:rPr>
          <w:rFonts w:ascii="Arial" w:hAnsi="Arial" w:cs="Arial"/>
          <w:sz w:val="20"/>
          <w:szCs w:val="20"/>
        </w:rPr>
        <w:t>Rider to Deed of Trust - Affordable Housing Program Retention Agreement and Restrictive Covenants attached to and made a part of the Deed of Trust encumbering the AHP-Assisted Unit.</w:t>
      </w:r>
    </w:p>
    <w:p w14:paraId="5125DB09" w14:textId="49BBC7E2" w:rsidR="00295829" w:rsidRPr="00423312" w:rsidRDefault="00295829"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Retention</w:t>
      </w:r>
      <w:r w:rsidRPr="00423312">
        <w:rPr>
          <w:rFonts w:ascii="Arial" w:hAnsi="Arial" w:cs="Arial"/>
          <w:sz w:val="20"/>
          <w:szCs w:val="20"/>
        </w:rPr>
        <w:t xml:space="preserve"> </w:t>
      </w:r>
      <w:r w:rsidRPr="00423312">
        <w:rPr>
          <w:rFonts w:ascii="Arial" w:hAnsi="Arial" w:cs="Arial"/>
          <w:b/>
          <w:sz w:val="20"/>
          <w:szCs w:val="20"/>
        </w:rPr>
        <w:t>Period</w:t>
      </w:r>
      <w:r w:rsidRPr="00423312">
        <w:rPr>
          <w:rFonts w:ascii="Arial" w:hAnsi="Arial" w:cs="Arial"/>
          <w:sz w:val="20"/>
          <w:szCs w:val="20"/>
        </w:rPr>
        <w:t xml:space="preserve">” means five years from closing </w:t>
      </w:r>
      <w:r w:rsidR="003433AF">
        <w:rPr>
          <w:rFonts w:ascii="Arial" w:hAnsi="Arial" w:cs="Arial"/>
          <w:sz w:val="20"/>
          <w:szCs w:val="20"/>
        </w:rPr>
        <w:t>for an</w:t>
      </w:r>
      <w:r w:rsidR="003433AF" w:rsidRPr="00423312">
        <w:rPr>
          <w:rFonts w:ascii="Arial" w:hAnsi="Arial" w:cs="Arial"/>
          <w:sz w:val="20"/>
          <w:szCs w:val="20"/>
        </w:rPr>
        <w:t xml:space="preserve"> </w:t>
      </w:r>
      <w:r w:rsidRPr="00423312">
        <w:rPr>
          <w:rFonts w:ascii="Arial" w:hAnsi="Arial" w:cs="Arial"/>
          <w:sz w:val="20"/>
          <w:szCs w:val="20"/>
        </w:rPr>
        <w:t xml:space="preserve">AHP-Assisted </w:t>
      </w:r>
      <w:r w:rsidR="003433AF">
        <w:rPr>
          <w:rFonts w:ascii="Arial" w:hAnsi="Arial" w:cs="Arial"/>
          <w:sz w:val="20"/>
          <w:szCs w:val="20"/>
        </w:rPr>
        <w:t xml:space="preserve">owner-occupied </w:t>
      </w:r>
      <w:r w:rsidR="008F3987">
        <w:rPr>
          <w:rFonts w:ascii="Arial" w:hAnsi="Arial" w:cs="Arial"/>
          <w:sz w:val="20"/>
          <w:szCs w:val="20"/>
        </w:rPr>
        <w:t>u</w:t>
      </w:r>
      <w:r w:rsidR="00CC22E7" w:rsidRPr="00423312">
        <w:rPr>
          <w:rFonts w:ascii="Arial" w:hAnsi="Arial" w:cs="Arial"/>
          <w:sz w:val="20"/>
          <w:szCs w:val="20"/>
        </w:rPr>
        <w:t>nit</w:t>
      </w:r>
      <w:r w:rsidR="008F3987">
        <w:rPr>
          <w:rFonts w:ascii="Arial" w:hAnsi="Arial" w:cs="Arial"/>
          <w:sz w:val="20"/>
          <w:szCs w:val="20"/>
        </w:rPr>
        <w:t xml:space="preserve"> where the AHP subsidy is used for purchase of the unit</w:t>
      </w:r>
      <w:r w:rsidR="00CC22E7" w:rsidRPr="00423312">
        <w:rPr>
          <w:rFonts w:ascii="Arial" w:hAnsi="Arial" w:cs="Arial"/>
          <w:sz w:val="20"/>
          <w:szCs w:val="20"/>
        </w:rPr>
        <w:t>.</w:t>
      </w:r>
    </w:p>
    <w:p w14:paraId="3450D165" w14:textId="77777777" w:rsidR="00EE4FF8" w:rsidRPr="00423312" w:rsidRDefault="00EE4FF8" w:rsidP="00CC22E7">
      <w:pPr>
        <w:spacing w:before="200" w:after="200"/>
        <w:ind w:left="576"/>
        <w:rPr>
          <w:rFonts w:ascii="Arial" w:hAnsi="Arial" w:cs="Arial"/>
          <w:sz w:val="20"/>
          <w:szCs w:val="20"/>
        </w:rPr>
      </w:pPr>
      <w:r w:rsidRPr="00423312">
        <w:rPr>
          <w:rFonts w:ascii="Arial" w:hAnsi="Arial" w:cs="Arial"/>
          <w:sz w:val="20"/>
          <w:szCs w:val="20"/>
        </w:rPr>
        <w:t>“</w:t>
      </w:r>
      <w:r w:rsidRPr="00423312">
        <w:rPr>
          <w:rFonts w:ascii="Arial" w:hAnsi="Arial" w:cs="Arial"/>
          <w:b/>
          <w:sz w:val="20"/>
          <w:szCs w:val="20"/>
        </w:rPr>
        <w:t>Subsidy</w:t>
      </w:r>
      <w:r w:rsidRPr="00423312">
        <w:rPr>
          <w:rFonts w:ascii="Arial" w:hAnsi="Arial" w:cs="Arial"/>
          <w:sz w:val="20"/>
          <w:szCs w:val="20"/>
        </w:rPr>
        <w:t>” means the original principal amount of this Note set forth above.</w:t>
      </w:r>
    </w:p>
    <w:p w14:paraId="1B7DE377"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The Loan</w:t>
      </w:r>
      <w:r w:rsidRPr="00423312">
        <w:rPr>
          <w:rFonts w:ascii="Arial" w:hAnsi="Arial" w:cs="Arial"/>
          <w:sz w:val="20"/>
          <w:szCs w:val="20"/>
        </w:rPr>
        <w:t>.</w:t>
      </w:r>
      <w:r w:rsidR="00B7233F" w:rsidRPr="00423312">
        <w:rPr>
          <w:rFonts w:ascii="Arial" w:hAnsi="Arial" w:cs="Arial"/>
          <w:sz w:val="20"/>
          <w:szCs w:val="20"/>
        </w:rPr>
        <w:t xml:space="preserve"> </w:t>
      </w:r>
      <w:r w:rsidRPr="00423312">
        <w:rPr>
          <w:rFonts w:ascii="Arial" w:hAnsi="Arial" w:cs="Arial"/>
          <w:sz w:val="20"/>
          <w:szCs w:val="20"/>
        </w:rPr>
        <w:t>The Parties acknowledge and agree that Lender has disbursed or is obligated to disburse Subsidy to Owner to be used in connection with the purchase of the AHP-Assisted Unit.</w:t>
      </w:r>
    </w:p>
    <w:p w14:paraId="478C028E"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Interest</w:t>
      </w:r>
      <w:r w:rsidRPr="00423312">
        <w:rPr>
          <w:rFonts w:ascii="Arial" w:hAnsi="Arial" w:cs="Arial"/>
          <w:sz w:val="20"/>
          <w:szCs w:val="20"/>
        </w:rPr>
        <w:t>. The indebtedness evidenced by this Note shall not bear any interest except as provided below.</w:t>
      </w:r>
      <w:r w:rsidR="00B7233F" w:rsidRPr="00423312">
        <w:rPr>
          <w:rFonts w:ascii="Arial" w:hAnsi="Arial" w:cs="Arial"/>
          <w:sz w:val="20"/>
          <w:szCs w:val="20"/>
        </w:rPr>
        <w:t xml:space="preserve"> </w:t>
      </w:r>
    </w:p>
    <w:p w14:paraId="614ACF82"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Repayment</w:t>
      </w:r>
      <w:r w:rsidRPr="00423312">
        <w:rPr>
          <w:rFonts w:ascii="Arial" w:hAnsi="Arial" w:cs="Arial"/>
          <w:sz w:val="20"/>
          <w:szCs w:val="20"/>
        </w:rPr>
        <w:t>.</w:t>
      </w:r>
      <w:r w:rsidR="00B7233F" w:rsidRPr="00423312">
        <w:rPr>
          <w:rFonts w:ascii="Arial" w:hAnsi="Arial" w:cs="Arial"/>
          <w:sz w:val="20"/>
          <w:szCs w:val="20"/>
        </w:rPr>
        <w:t xml:space="preserve"> </w:t>
      </w:r>
      <w:r w:rsidRPr="00423312">
        <w:rPr>
          <w:rFonts w:ascii="Arial" w:hAnsi="Arial" w:cs="Arial"/>
          <w:sz w:val="20"/>
          <w:szCs w:val="20"/>
        </w:rPr>
        <w:t>The Loan will not amortize.</w:t>
      </w:r>
      <w:r w:rsidR="00B7233F" w:rsidRPr="00423312">
        <w:rPr>
          <w:rFonts w:ascii="Arial" w:hAnsi="Arial" w:cs="Arial"/>
          <w:sz w:val="20"/>
          <w:szCs w:val="20"/>
        </w:rPr>
        <w:t xml:space="preserve"> </w:t>
      </w:r>
      <w:r w:rsidR="00A90A24" w:rsidRPr="00423312">
        <w:rPr>
          <w:rFonts w:ascii="Arial" w:hAnsi="Arial" w:cs="Arial"/>
          <w:sz w:val="20"/>
          <w:szCs w:val="20"/>
        </w:rPr>
        <w:t xml:space="preserve">Subject to Section </w:t>
      </w:r>
      <w:r w:rsidR="00B27C8B" w:rsidRPr="00423312">
        <w:rPr>
          <w:rFonts w:ascii="Arial" w:hAnsi="Arial" w:cs="Arial"/>
          <w:sz w:val="20"/>
          <w:szCs w:val="20"/>
        </w:rPr>
        <w:t>7</w:t>
      </w:r>
      <w:r w:rsidR="00A90A24" w:rsidRPr="00423312">
        <w:rPr>
          <w:rFonts w:ascii="Arial" w:hAnsi="Arial" w:cs="Arial"/>
          <w:sz w:val="20"/>
          <w:szCs w:val="20"/>
        </w:rPr>
        <w:t xml:space="preserve">, below, and unless </w:t>
      </w:r>
      <w:r w:rsidRPr="00423312">
        <w:rPr>
          <w:rFonts w:ascii="Arial" w:hAnsi="Arial" w:cs="Arial"/>
          <w:sz w:val="20"/>
          <w:szCs w:val="20"/>
        </w:rPr>
        <w:t xml:space="preserve">earlier prepayment is required under Section 6, payment of the principal balance of this Note will be due and payable in full at the end of the Retention Period, provided that </w:t>
      </w:r>
      <w:r w:rsidR="00647E10" w:rsidRPr="00423312">
        <w:rPr>
          <w:rFonts w:ascii="Arial" w:hAnsi="Arial" w:cs="Arial"/>
          <w:sz w:val="20"/>
          <w:szCs w:val="20"/>
        </w:rPr>
        <w:t xml:space="preserve">Owner's liability on this Note shall be reduced on a pro rata basis </w:t>
      </w:r>
      <w:r w:rsidR="00B42839" w:rsidRPr="00423312">
        <w:rPr>
          <w:rFonts w:ascii="Arial" w:hAnsi="Arial" w:cs="Arial"/>
          <w:sz w:val="20"/>
          <w:szCs w:val="20"/>
        </w:rPr>
        <w:t xml:space="preserve">as described in </w:t>
      </w:r>
      <w:r w:rsidR="000A09B6" w:rsidRPr="00423312">
        <w:rPr>
          <w:rFonts w:ascii="Arial" w:hAnsi="Arial" w:cs="Arial"/>
          <w:sz w:val="20"/>
          <w:szCs w:val="20"/>
        </w:rPr>
        <w:t>S</w:t>
      </w:r>
      <w:r w:rsidR="00B42839" w:rsidRPr="00423312">
        <w:rPr>
          <w:rFonts w:ascii="Arial" w:hAnsi="Arial" w:cs="Arial"/>
          <w:sz w:val="20"/>
          <w:szCs w:val="20"/>
        </w:rPr>
        <w:t>ection 6(a)</w:t>
      </w:r>
      <w:r w:rsidR="00647E10" w:rsidRPr="00423312">
        <w:rPr>
          <w:rFonts w:ascii="Arial" w:hAnsi="Arial" w:cs="Arial"/>
          <w:sz w:val="20"/>
          <w:szCs w:val="20"/>
        </w:rPr>
        <w:t>.</w:t>
      </w:r>
      <w:r w:rsidR="00B7233F" w:rsidRPr="00423312">
        <w:rPr>
          <w:rFonts w:ascii="Arial" w:hAnsi="Arial" w:cs="Arial"/>
          <w:sz w:val="20"/>
          <w:szCs w:val="20"/>
        </w:rPr>
        <w:t xml:space="preserve"> </w:t>
      </w:r>
      <w:r w:rsidRPr="00423312">
        <w:rPr>
          <w:rFonts w:ascii="Arial" w:hAnsi="Arial" w:cs="Arial"/>
          <w:sz w:val="20"/>
          <w:szCs w:val="20"/>
        </w:rPr>
        <w:t>Provided Owner has owned and occupied the AHP-Assisted Unit as Owner’s principal residence during the entire Retention Period and no default or breach has occurred and is continuing under this Note, the Deed of Trust, the Retention Agreement and the other Loan Documents and no misuse (as defined in Section 6(</w:t>
      </w:r>
      <w:r w:rsidR="00647E10" w:rsidRPr="00423312">
        <w:rPr>
          <w:rFonts w:ascii="Arial" w:hAnsi="Arial" w:cs="Arial"/>
          <w:sz w:val="20"/>
          <w:szCs w:val="20"/>
        </w:rPr>
        <w:t>b</w:t>
      </w:r>
      <w:r w:rsidRPr="00423312">
        <w:rPr>
          <w:rFonts w:ascii="Arial" w:hAnsi="Arial" w:cs="Arial"/>
          <w:sz w:val="20"/>
          <w:szCs w:val="20"/>
        </w:rPr>
        <w:t>) below) of the Subsidy has occurred, Owner shall be released from any obligation under this Note and Lender shall reconvey the Deed of Trust at the end of the Retention Period.</w:t>
      </w:r>
      <w:r w:rsidR="00B7233F" w:rsidRPr="00423312">
        <w:rPr>
          <w:rFonts w:ascii="Arial" w:hAnsi="Arial" w:cs="Arial"/>
          <w:sz w:val="20"/>
          <w:szCs w:val="20"/>
        </w:rPr>
        <w:t xml:space="preserve"> </w:t>
      </w:r>
    </w:p>
    <w:p w14:paraId="0E07AAD6"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Optional Prepayment</w:t>
      </w:r>
      <w:r w:rsidRPr="00423312">
        <w:rPr>
          <w:rFonts w:ascii="Arial" w:hAnsi="Arial" w:cs="Arial"/>
          <w:sz w:val="20"/>
          <w:szCs w:val="20"/>
        </w:rPr>
        <w:t>. Owner shall have the right to prepay all or a portion of the principal due under this Note without any charge or penalty being made therefor</w:t>
      </w:r>
      <w:r w:rsidR="00EE4FF8" w:rsidRPr="00423312">
        <w:rPr>
          <w:rFonts w:ascii="Arial" w:hAnsi="Arial" w:cs="Arial"/>
          <w:sz w:val="20"/>
          <w:szCs w:val="20"/>
        </w:rPr>
        <w:t>e, provided that such prepayment shall not eliminate any obligation to pay interest if it is determined that Owner misused the Subsidy as set forth in section 6(b)</w:t>
      </w:r>
      <w:r w:rsidR="00647E10" w:rsidRPr="00423312">
        <w:rPr>
          <w:rFonts w:ascii="Arial" w:hAnsi="Arial" w:cs="Arial"/>
          <w:sz w:val="20"/>
          <w:szCs w:val="20"/>
        </w:rPr>
        <w:t xml:space="preserve"> of this note</w:t>
      </w:r>
      <w:r w:rsidRPr="00423312">
        <w:rPr>
          <w:rFonts w:ascii="Arial" w:hAnsi="Arial" w:cs="Arial"/>
          <w:sz w:val="20"/>
          <w:szCs w:val="20"/>
        </w:rPr>
        <w:t>.</w:t>
      </w:r>
      <w:r w:rsidR="00B7233F" w:rsidRPr="00423312">
        <w:rPr>
          <w:rFonts w:ascii="Arial" w:hAnsi="Arial" w:cs="Arial"/>
          <w:sz w:val="20"/>
          <w:szCs w:val="20"/>
        </w:rPr>
        <w:t xml:space="preserve"> </w:t>
      </w:r>
    </w:p>
    <w:p w14:paraId="573189D7"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Required Prepayment</w:t>
      </w:r>
      <w:r w:rsidRPr="00423312">
        <w:rPr>
          <w:rFonts w:ascii="Arial" w:hAnsi="Arial" w:cs="Arial"/>
          <w:sz w:val="20"/>
          <w:szCs w:val="20"/>
        </w:rPr>
        <w:t>.</w:t>
      </w:r>
      <w:r w:rsidR="00B7233F" w:rsidRPr="00423312">
        <w:rPr>
          <w:rFonts w:ascii="Arial" w:hAnsi="Arial" w:cs="Arial"/>
          <w:sz w:val="20"/>
          <w:szCs w:val="20"/>
        </w:rPr>
        <w:t xml:space="preserve"> </w:t>
      </w:r>
    </w:p>
    <w:p w14:paraId="2281DC7E" w14:textId="79346F59" w:rsidR="00295829" w:rsidRPr="00423312" w:rsidRDefault="00295829" w:rsidP="00CC22E7">
      <w:pPr>
        <w:numPr>
          <w:ilvl w:val="1"/>
          <w:numId w:val="8"/>
        </w:numPr>
        <w:spacing w:before="200" w:after="200"/>
        <w:rPr>
          <w:rFonts w:ascii="Arial" w:hAnsi="Arial" w:cs="Arial"/>
          <w:sz w:val="20"/>
          <w:szCs w:val="20"/>
        </w:rPr>
      </w:pPr>
      <w:bookmarkStart w:id="2" w:name="_Hlk533771784"/>
      <w:r w:rsidRPr="00423312">
        <w:rPr>
          <w:rFonts w:ascii="Arial" w:hAnsi="Arial" w:cs="Arial"/>
          <w:b/>
          <w:sz w:val="20"/>
          <w:szCs w:val="20"/>
        </w:rPr>
        <w:t>Sale</w:t>
      </w:r>
      <w:r w:rsidR="00F53F3F">
        <w:rPr>
          <w:rFonts w:ascii="Arial" w:hAnsi="Arial" w:cs="Arial"/>
          <w:b/>
          <w:sz w:val="20"/>
          <w:szCs w:val="20"/>
        </w:rPr>
        <w:t>, Transfer, Assignment</w:t>
      </w:r>
      <w:r w:rsidR="00CE66DA">
        <w:rPr>
          <w:rFonts w:ascii="Arial" w:hAnsi="Arial" w:cs="Arial"/>
          <w:b/>
          <w:sz w:val="20"/>
          <w:szCs w:val="20"/>
        </w:rPr>
        <w:t>,</w:t>
      </w:r>
      <w:r w:rsidRPr="00423312">
        <w:rPr>
          <w:rFonts w:ascii="Arial" w:hAnsi="Arial" w:cs="Arial"/>
          <w:b/>
          <w:sz w:val="20"/>
          <w:szCs w:val="20"/>
        </w:rPr>
        <w:t xml:space="preserve"> or Refinancing</w:t>
      </w:r>
      <w:r w:rsidRPr="00423312">
        <w:rPr>
          <w:rFonts w:ascii="Arial" w:hAnsi="Arial" w:cs="Arial"/>
          <w:sz w:val="20"/>
          <w:szCs w:val="20"/>
        </w:rPr>
        <w:t>.</w:t>
      </w:r>
      <w:r w:rsidR="00B7233F" w:rsidRPr="00423312">
        <w:rPr>
          <w:rFonts w:ascii="Arial" w:hAnsi="Arial" w:cs="Arial"/>
          <w:sz w:val="20"/>
          <w:szCs w:val="20"/>
        </w:rPr>
        <w:t xml:space="preserve"> </w:t>
      </w:r>
      <w:r w:rsidR="003F1B16" w:rsidRPr="003F1B16">
        <w:rPr>
          <w:rFonts w:ascii="Arial" w:hAnsi="Arial" w:cs="Arial"/>
          <w:sz w:val="20"/>
          <w:szCs w:val="20"/>
        </w:rPr>
        <w:t>In the case of a sale, transfer, assignment of title or deed, or refinancing of the AHP-</w:t>
      </w:r>
      <w:r w:rsidR="0076539C">
        <w:rPr>
          <w:rFonts w:ascii="Arial" w:hAnsi="Arial" w:cs="Arial"/>
          <w:sz w:val="20"/>
          <w:szCs w:val="20"/>
        </w:rPr>
        <w:t>A</w:t>
      </w:r>
      <w:r w:rsidR="003F1B16" w:rsidRPr="003F1B16">
        <w:rPr>
          <w:rFonts w:ascii="Arial" w:hAnsi="Arial" w:cs="Arial"/>
          <w:sz w:val="20"/>
          <w:szCs w:val="20"/>
        </w:rPr>
        <w:t xml:space="preserve">ssisted Unit by the household during the Retention Period, the Bank shall be repaid the lesser of: (A) the amount of AHP subsidy reduced on a pro rata basis per month until the </w:t>
      </w:r>
      <w:r w:rsidR="00A24311" w:rsidRPr="003F1B16">
        <w:rPr>
          <w:rFonts w:ascii="Arial" w:hAnsi="Arial" w:cs="Arial"/>
          <w:sz w:val="20"/>
          <w:szCs w:val="20"/>
        </w:rPr>
        <w:t>AHP-</w:t>
      </w:r>
      <w:r w:rsidR="0076539C">
        <w:rPr>
          <w:rFonts w:ascii="Arial" w:hAnsi="Arial" w:cs="Arial"/>
          <w:sz w:val="20"/>
          <w:szCs w:val="20"/>
        </w:rPr>
        <w:t>A</w:t>
      </w:r>
      <w:r w:rsidR="00A24311" w:rsidRPr="003F1B16">
        <w:rPr>
          <w:rFonts w:ascii="Arial" w:hAnsi="Arial" w:cs="Arial"/>
          <w:sz w:val="20"/>
          <w:szCs w:val="20"/>
        </w:rPr>
        <w:t xml:space="preserve">ssisted </w:t>
      </w:r>
      <w:r w:rsidR="00A24311">
        <w:rPr>
          <w:rFonts w:ascii="Arial" w:hAnsi="Arial" w:cs="Arial"/>
          <w:sz w:val="20"/>
          <w:szCs w:val="20"/>
        </w:rPr>
        <w:t>U</w:t>
      </w:r>
      <w:r w:rsidR="003F1B16" w:rsidRPr="003F1B16">
        <w:rPr>
          <w:rFonts w:ascii="Arial" w:hAnsi="Arial" w:cs="Arial"/>
          <w:sz w:val="20"/>
          <w:szCs w:val="20"/>
        </w:rPr>
        <w:t xml:space="preserve">nit is sold, transferred, or its title or deed transferred, or is refinanced; or (B) any net proceeds from the sale, transfer, or assignment of title or deed of the </w:t>
      </w:r>
      <w:r w:rsidR="00A24311" w:rsidRPr="003F1B16">
        <w:rPr>
          <w:rFonts w:ascii="Arial" w:hAnsi="Arial" w:cs="Arial"/>
          <w:sz w:val="20"/>
          <w:szCs w:val="20"/>
        </w:rPr>
        <w:t>AHP-</w:t>
      </w:r>
      <w:r w:rsidR="0076539C">
        <w:rPr>
          <w:rFonts w:ascii="Arial" w:hAnsi="Arial" w:cs="Arial"/>
          <w:sz w:val="20"/>
          <w:szCs w:val="20"/>
        </w:rPr>
        <w:t>A</w:t>
      </w:r>
      <w:r w:rsidR="00A24311" w:rsidRPr="003F1B16">
        <w:rPr>
          <w:rFonts w:ascii="Arial" w:hAnsi="Arial" w:cs="Arial"/>
          <w:sz w:val="20"/>
          <w:szCs w:val="20"/>
        </w:rPr>
        <w:t xml:space="preserve">ssisted </w:t>
      </w:r>
      <w:r w:rsidR="00A24311">
        <w:rPr>
          <w:rFonts w:ascii="Arial" w:hAnsi="Arial" w:cs="Arial"/>
          <w:sz w:val="20"/>
          <w:szCs w:val="20"/>
        </w:rPr>
        <w:t>U</w:t>
      </w:r>
      <w:r w:rsidR="003F1B16" w:rsidRPr="003F1B16">
        <w:rPr>
          <w:rFonts w:ascii="Arial" w:hAnsi="Arial" w:cs="Arial"/>
          <w:sz w:val="20"/>
          <w:szCs w:val="20"/>
        </w:rPr>
        <w:t>nit, or the refinancing, as applicable, minus the AHP-</w:t>
      </w:r>
      <w:r w:rsidR="0076539C">
        <w:rPr>
          <w:rFonts w:ascii="Arial" w:hAnsi="Arial" w:cs="Arial"/>
          <w:sz w:val="20"/>
          <w:szCs w:val="20"/>
        </w:rPr>
        <w:t>A</w:t>
      </w:r>
      <w:r w:rsidR="003F1B16" w:rsidRPr="003F1B16">
        <w:rPr>
          <w:rFonts w:ascii="Arial" w:hAnsi="Arial" w:cs="Arial"/>
          <w:sz w:val="20"/>
          <w:szCs w:val="20"/>
        </w:rPr>
        <w:t>ssisted household’s investment, unless one of the following exceptions applies:</w:t>
      </w:r>
      <w:r w:rsidRPr="00423312">
        <w:rPr>
          <w:rFonts w:ascii="Arial" w:hAnsi="Arial" w:cs="Arial"/>
          <w:sz w:val="20"/>
          <w:szCs w:val="20"/>
        </w:rPr>
        <w:t xml:space="preserve"> </w:t>
      </w:r>
    </w:p>
    <w:p w14:paraId="6AF48A03" w14:textId="4896F90F" w:rsidR="00295829" w:rsidRPr="00423312" w:rsidRDefault="00295829" w:rsidP="00CC22E7">
      <w:pPr>
        <w:numPr>
          <w:ilvl w:val="2"/>
          <w:numId w:val="8"/>
        </w:numPr>
        <w:spacing w:before="200" w:after="200"/>
        <w:rPr>
          <w:rFonts w:ascii="Arial" w:hAnsi="Arial" w:cs="Arial"/>
          <w:sz w:val="20"/>
          <w:szCs w:val="20"/>
        </w:rPr>
      </w:pPr>
      <w:r w:rsidRPr="00423312">
        <w:rPr>
          <w:rFonts w:ascii="Arial" w:hAnsi="Arial" w:cs="Arial"/>
          <w:sz w:val="20"/>
          <w:szCs w:val="20"/>
        </w:rPr>
        <w:t xml:space="preserve">in </w:t>
      </w:r>
      <w:r w:rsidR="00252337">
        <w:rPr>
          <w:rFonts w:ascii="Arial" w:hAnsi="Arial" w:cs="Arial"/>
          <w:sz w:val="20"/>
          <w:szCs w:val="20"/>
        </w:rPr>
        <w:t xml:space="preserve">the </w:t>
      </w:r>
      <w:r w:rsidRPr="00423312">
        <w:rPr>
          <w:rFonts w:ascii="Arial" w:hAnsi="Arial" w:cs="Arial"/>
          <w:sz w:val="20"/>
          <w:szCs w:val="20"/>
        </w:rPr>
        <w:t>case of a sale,</w:t>
      </w:r>
      <w:r w:rsidR="003F1B16">
        <w:rPr>
          <w:rFonts w:ascii="Arial" w:hAnsi="Arial" w:cs="Arial"/>
          <w:sz w:val="20"/>
          <w:szCs w:val="20"/>
        </w:rPr>
        <w:t xml:space="preserve"> transfer or assignment</w:t>
      </w:r>
      <w:r w:rsidR="0040581B">
        <w:rPr>
          <w:rFonts w:ascii="Arial" w:hAnsi="Arial" w:cs="Arial"/>
          <w:sz w:val="20"/>
          <w:szCs w:val="20"/>
        </w:rPr>
        <w:t xml:space="preserve"> of the AHP-a</w:t>
      </w:r>
      <w:r w:rsidR="00384B3D">
        <w:rPr>
          <w:rFonts w:ascii="Arial" w:hAnsi="Arial" w:cs="Arial"/>
          <w:sz w:val="20"/>
          <w:szCs w:val="20"/>
        </w:rPr>
        <w:t>ssisted Unit</w:t>
      </w:r>
      <w:r w:rsidR="003F1B16">
        <w:rPr>
          <w:rFonts w:ascii="Arial" w:hAnsi="Arial" w:cs="Arial"/>
          <w:sz w:val="20"/>
          <w:szCs w:val="20"/>
        </w:rPr>
        <w:t>,</w:t>
      </w:r>
      <w:r w:rsidRPr="00423312">
        <w:rPr>
          <w:rFonts w:ascii="Arial" w:hAnsi="Arial" w:cs="Arial"/>
          <w:sz w:val="20"/>
          <w:szCs w:val="20"/>
        </w:rPr>
        <w:t xml:space="preserve"> </w:t>
      </w:r>
      <w:r w:rsidR="003F1B16" w:rsidRPr="003F1B16">
        <w:rPr>
          <w:rFonts w:ascii="Arial" w:hAnsi="Arial" w:cs="Arial"/>
          <w:sz w:val="20"/>
          <w:szCs w:val="20"/>
        </w:rPr>
        <w:t xml:space="preserve">the subsequent purchaser, transferee, or assignee is a </w:t>
      </w:r>
      <w:r w:rsidRPr="00423312">
        <w:rPr>
          <w:rFonts w:ascii="Arial" w:hAnsi="Arial" w:cs="Arial"/>
          <w:sz w:val="20"/>
          <w:szCs w:val="20"/>
        </w:rPr>
        <w:t>low- or moderate-income household as defined in the AHP Regulation</w:t>
      </w:r>
      <w:r w:rsidR="004250DF">
        <w:rPr>
          <w:rFonts w:ascii="Arial" w:hAnsi="Arial" w:cs="Arial"/>
          <w:sz w:val="20"/>
          <w:szCs w:val="20"/>
        </w:rPr>
        <w:t>,</w:t>
      </w:r>
      <w:r w:rsidR="00B42839" w:rsidRPr="00423312">
        <w:rPr>
          <w:rFonts w:ascii="Arial" w:hAnsi="Arial" w:cs="Arial"/>
          <w:sz w:val="20"/>
          <w:szCs w:val="20"/>
        </w:rPr>
        <w:t xml:space="preserve"> and </w:t>
      </w:r>
      <w:r w:rsidR="004250DF">
        <w:rPr>
          <w:rFonts w:ascii="Arial" w:hAnsi="Arial" w:cs="Arial"/>
          <w:sz w:val="20"/>
          <w:szCs w:val="20"/>
        </w:rPr>
        <w:t xml:space="preserve">as determined by </w:t>
      </w:r>
      <w:r w:rsidR="00B42839" w:rsidRPr="00423312">
        <w:rPr>
          <w:rFonts w:ascii="Arial" w:hAnsi="Arial" w:cs="Arial"/>
          <w:sz w:val="20"/>
          <w:szCs w:val="20"/>
        </w:rPr>
        <w:t xml:space="preserve">the </w:t>
      </w:r>
      <w:r w:rsidR="000603A9">
        <w:rPr>
          <w:rFonts w:ascii="Arial" w:hAnsi="Arial" w:cs="Arial"/>
          <w:sz w:val="20"/>
          <w:szCs w:val="20"/>
        </w:rPr>
        <w:t>Bank</w:t>
      </w:r>
      <w:r w:rsidR="004250DF">
        <w:rPr>
          <w:rFonts w:ascii="Arial" w:hAnsi="Arial" w:cs="Arial"/>
          <w:sz w:val="20"/>
          <w:szCs w:val="20"/>
        </w:rPr>
        <w:t xml:space="preserve"> pursuant to the </w:t>
      </w:r>
      <w:r w:rsidR="000603A9">
        <w:rPr>
          <w:rFonts w:ascii="Arial" w:hAnsi="Arial" w:cs="Arial"/>
          <w:sz w:val="20"/>
          <w:szCs w:val="20"/>
        </w:rPr>
        <w:t>Bank</w:t>
      </w:r>
      <w:r w:rsidR="00B42839" w:rsidRPr="00423312">
        <w:rPr>
          <w:rFonts w:ascii="Arial" w:hAnsi="Arial" w:cs="Arial"/>
          <w:sz w:val="20"/>
          <w:szCs w:val="20"/>
        </w:rPr>
        <w:t>’s Policies and Procedure</w:t>
      </w:r>
      <w:r w:rsidR="00F24867" w:rsidRPr="00423312">
        <w:rPr>
          <w:rFonts w:ascii="Arial" w:hAnsi="Arial" w:cs="Arial"/>
          <w:sz w:val="20"/>
          <w:szCs w:val="20"/>
        </w:rPr>
        <w:t>s</w:t>
      </w:r>
      <w:r w:rsidRPr="00423312">
        <w:rPr>
          <w:rFonts w:ascii="Arial" w:hAnsi="Arial" w:cs="Arial"/>
          <w:sz w:val="20"/>
          <w:szCs w:val="20"/>
        </w:rPr>
        <w:t xml:space="preserve">; </w:t>
      </w:r>
    </w:p>
    <w:p w14:paraId="425F96CA" w14:textId="6AE764B0" w:rsidR="00384B3D" w:rsidRDefault="00295829" w:rsidP="00CC22E7">
      <w:pPr>
        <w:numPr>
          <w:ilvl w:val="2"/>
          <w:numId w:val="8"/>
        </w:numPr>
        <w:spacing w:before="200" w:after="200"/>
        <w:rPr>
          <w:rFonts w:ascii="Arial" w:hAnsi="Arial" w:cs="Arial"/>
          <w:sz w:val="20"/>
          <w:szCs w:val="20"/>
        </w:rPr>
      </w:pPr>
      <w:r w:rsidRPr="00423312">
        <w:rPr>
          <w:rFonts w:ascii="Arial" w:hAnsi="Arial" w:cs="Arial"/>
          <w:sz w:val="20"/>
          <w:szCs w:val="20"/>
        </w:rPr>
        <w:t xml:space="preserve">in </w:t>
      </w:r>
      <w:r w:rsidR="00252337">
        <w:rPr>
          <w:rFonts w:ascii="Arial" w:hAnsi="Arial" w:cs="Arial"/>
          <w:sz w:val="20"/>
          <w:szCs w:val="20"/>
        </w:rPr>
        <w:t xml:space="preserve">the </w:t>
      </w:r>
      <w:r w:rsidRPr="00423312">
        <w:rPr>
          <w:rFonts w:ascii="Arial" w:hAnsi="Arial" w:cs="Arial"/>
          <w:sz w:val="20"/>
          <w:szCs w:val="20"/>
        </w:rPr>
        <w:t>case of a refinancing, following the refinancing</w:t>
      </w:r>
      <w:r w:rsidR="00384B3D">
        <w:rPr>
          <w:rFonts w:ascii="Arial" w:hAnsi="Arial" w:cs="Arial"/>
          <w:sz w:val="20"/>
          <w:szCs w:val="20"/>
        </w:rPr>
        <w:t>,</w:t>
      </w:r>
      <w:r w:rsidRPr="00423312">
        <w:rPr>
          <w:rFonts w:ascii="Arial" w:hAnsi="Arial" w:cs="Arial"/>
          <w:sz w:val="20"/>
          <w:szCs w:val="20"/>
        </w:rPr>
        <w:t xml:space="preserve"> the AHP-Assisted Unit continues to be subject to a deed restriction or other legally enforceable retention agreement or </w:t>
      </w:r>
      <w:r w:rsidR="00C9380E">
        <w:rPr>
          <w:rFonts w:ascii="Arial" w:hAnsi="Arial" w:cs="Arial"/>
          <w:sz w:val="20"/>
          <w:szCs w:val="20"/>
        </w:rPr>
        <w:t>mechanism as herein described</w:t>
      </w:r>
      <w:r w:rsidR="00C9380E" w:rsidRPr="00423312">
        <w:rPr>
          <w:rFonts w:ascii="Arial" w:hAnsi="Arial" w:cs="Arial"/>
          <w:sz w:val="20"/>
          <w:szCs w:val="20"/>
        </w:rPr>
        <w:t xml:space="preserve"> </w:t>
      </w:r>
      <w:r w:rsidR="000C7B49" w:rsidRPr="00423312">
        <w:rPr>
          <w:rFonts w:ascii="Arial" w:hAnsi="Arial" w:cs="Arial"/>
          <w:sz w:val="20"/>
          <w:szCs w:val="20"/>
        </w:rPr>
        <w:t>incorporating the income eligibility, notice requirements and</w:t>
      </w:r>
      <w:r w:rsidR="00C9380E">
        <w:rPr>
          <w:rFonts w:ascii="Arial" w:hAnsi="Arial" w:cs="Arial"/>
          <w:sz w:val="20"/>
          <w:szCs w:val="20"/>
        </w:rPr>
        <w:t xml:space="preserve"> the </w:t>
      </w:r>
      <w:r w:rsidRPr="00423312">
        <w:rPr>
          <w:rFonts w:ascii="Arial" w:hAnsi="Arial" w:cs="Arial"/>
          <w:sz w:val="20"/>
          <w:szCs w:val="20"/>
        </w:rPr>
        <w:t>obligations and restrictions described in the Retention Agreement and the AHP Regulation for the remainder of the Retention Period</w:t>
      </w:r>
      <w:r w:rsidR="00890231">
        <w:rPr>
          <w:rFonts w:ascii="Arial" w:hAnsi="Arial" w:cs="Arial"/>
          <w:sz w:val="20"/>
          <w:szCs w:val="20"/>
        </w:rPr>
        <w:t>; or</w:t>
      </w:r>
    </w:p>
    <w:p w14:paraId="6828AD67" w14:textId="200719AF" w:rsidR="00295829" w:rsidRDefault="00FC5E84" w:rsidP="00CC22E7">
      <w:pPr>
        <w:numPr>
          <w:ilvl w:val="2"/>
          <w:numId w:val="8"/>
        </w:numPr>
        <w:spacing w:before="200" w:after="200"/>
        <w:rPr>
          <w:rFonts w:ascii="Arial" w:hAnsi="Arial" w:cs="Arial"/>
          <w:sz w:val="20"/>
          <w:szCs w:val="20"/>
        </w:rPr>
      </w:pPr>
      <w:r w:rsidRPr="00FC5E84">
        <w:rPr>
          <w:rFonts w:ascii="Arial" w:hAnsi="Arial" w:cs="Arial"/>
          <w:sz w:val="20"/>
          <w:szCs w:val="20"/>
        </w:rPr>
        <w:t>the amount of the AHP subsidy that would be required to be repaid in accordance with the calculation in this section is $2,500 or less</w:t>
      </w:r>
      <w:r w:rsidR="00890231">
        <w:rPr>
          <w:rFonts w:ascii="Arial" w:hAnsi="Arial" w:cs="Arial"/>
          <w:sz w:val="20"/>
          <w:szCs w:val="20"/>
        </w:rPr>
        <w:t>.</w:t>
      </w:r>
      <w:bookmarkEnd w:id="2"/>
      <w:r w:rsidR="00295829" w:rsidRPr="00FC5E84">
        <w:rPr>
          <w:rFonts w:ascii="Arial" w:hAnsi="Arial" w:cs="Arial"/>
          <w:sz w:val="20"/>
          <w:szCs w:val="20"/>
        </w:rPr>
        <w:t xml:space="preserve"> </w:t>
      </w:r>
    </w:p>
    <w:p w14:paraId="4B71209F" w14:textId="5DEA1E9B" w:rsidR="007B774B" w:rsidRPr="00FC5E84" w:rsidRDefault="007B774B" w:rsidP="00E52C66">
      <w:pPr>
        <w:spacing w:before="200" w:after="200"/>
        <w:ind w:left="1152"/>
        <w:rPr>
          <w:rFonts w:ascii="Arial" w:hAnsi="Arial" w:cs="Arial"/>
          <w:sz w:val="20"/>
          <w:szCs w:val="20"/>
        </w:rPr>
      </w:pPr>
      <w:r>
        <w:rPr>
          <w:rFonts w:ascii="Arial" w:hAnsi="Arial" w:cs="Arial"/>
          <w:sz w:val="20"/>
          <w:szCs w:val="20"/>
        </w:rPr>
        <w:t>Owner sh</w:t>
      </w:r>
      <w:r w:rsidR="00AE40EA">
        <w:rPr>
          <w:rFonts w:ascii="Arial" w:hAnsi="Arial" w:cs="Arial"/>
          <w:sz w:val="20"/>
          <w:szCs w:val="20"/>
        </w:rPr>
        <w:t>all</w:t>
      </w:r>
      <w:r>
        <w:rPr>
          <w:rFonts w:ascii="Arial" w:hAnsi="Arial" w:cs="Arial"/>
          <w:sz w:val="20"/>
          <w:szCs w:val="20"/>
        </w:rPr>
        <w:t xml:space="preserve"> maintain documentation of their household investments </w:t>
      </w:r>
      <w:r w:rsidR="0091032A">
        <w:rPr>
          <w:rFonts w:ascii="Arial" w:hAnsi="Arial" w:cs="Arial"/>
          <w:sz w:val="20"/>
          <w:szCs w:val="20"/>
        </w:rPr>
        <w:t xml:space="preserve">and capital improvements </w:t>
      </w:r>
      <w:r>
        <w:rPr>
          <w:rFonts w:ascii="Arial" w:hAnsi="Arial" w:cs="Arial"/>
          <w:sz w:val="20"/>
          <w:szCs w:val="20"/>
        </w:rPr>
        <w:t xml:space="preserve">in case the </w:t>
      </w:r>
      <w:r w:rsidR="000E6CA1">
        <w:rPr>
          <w:rFonts w:ascii="Arial" w:hAnsi="Arial" w:cs="Arial"/>
          <w:sz w:val="20"/>
          <w:szCs w:val="20"/>
        </w:rPr>
        <w:t>AHP-Assisted U</w:t>
      </w:r>
      <w:r>
        <w:rPr>
          <w:rFonts w:ascii="Arial" w:hAnsi="Arial" w:cs="Arial"/>
          <w:sz w:val="20"/>
          <w:szCs w:val="20"/>
        </w:rPr>
        <w:t>nit is sold or refinanced during the Retention Period.</w:t>
      </w:r>
      <w:r w:rsidR="006F24B3">
        <w:rPr>
          <w:rFonts w:ascii="Arial" w:hAnsi="Arial" w:cs="Arial"/>
          <w:sz w:val="20"/>
          <w:szCs w:val="20"/>
        </w:rPr>
        <w:t xml:space="preserve"> </w:t>
      </w:r>
    </w:p>
    <w:p w14:paraId="0FBB6C04" w14:textId="0A9D03D7" w:rsidR="00B27C8B" w:rsidRPr="00423312" w:rsidRDefault="00B27C8B" w:rsidP="00B27C8B">
      <w:pPr>
        <w:numPr>
          <w:ilvl w:val="1"/>
          <w:numId w:val="8"/>
        </w:numPr>
        <w:spacing w:before="200" w:after="200"/>
        <w:rPr>
          <w:rFonts w:ascii="Arial" w:hAnsi="Arial" w:cs="Arial"/>
          <w:sz w:val="20"/>
          <w:szCs w:val="20"/>
        </w:rPr>
      </w:pPr>
      <w:r w:rsidRPr="00423312">
        <w:rPr>
          <w:rFonts w:ascii="Arial" w:hAnsi="Arial" w:cs="Arial"/>
          <w:b/>
          <w:sz w:val="20"/>
          <w:szCs w:val="20"/>
        </w:rPr>
        <w:lastRenderedPageBreak/>
        <w:t xml:space="preserve">Subsidy Repayment to </w:t>
      </w:r>
      <w:r w:rsidR="000603A9">
        <w:rPr>
          <w:rFonts w:ascii="Arial" w:hAnsi="Arial" w:cs="Arial"/>
          <w:b/>
          <w:sz w:val="20"/>
          <w:szCs w:val="20"/>
        </w:rPr>
        <w:t>the Bank</w:t>
      </w:r>
      <w:r w:rsidRPr="00423312">
        <w:rPr>
          <w:rFonts w:ascii="Arial" w:hAnsi="Arial" w:cs="Arial"/>
          <w:b/>
          <w:sz w:val="20"/>
          <w:szCs w:val="20"/>
        </w:rPr>
        <w:t xml:space="preserve">. </w:t>
      </w:r>
      <w:r w:rsidRPr="00423312">
        <w:rPr>
          <w:rFonts w:ascii="Arial" w:hAnsi="Arial" w:cs="Arial"/>
          <w:sz w:val="20"/>
          <w:szCs w:val="20"/>
        </w:rPr>
        <w:t xml:space="preserve">Lender’s obligation to repay Subsidy to </w:t>
      </w:r>
      <w:r w:rsidR="000603A9">
        <w:rPr>
          <w:rFonts w:ascii="Arial" w:hAnsi="Arial" w:cs="Arial"/>
          <w:sz w:val="20"/>
          <w:szCs w:val="20"/>
        </w:rPr>
        <w:t>the Bank</w:t>
      </w:r>
      <w:r w:rsidRPr="00423312">
        <w:rPr>
          <w:rFonts w:ascii="Arial" w:hAnsi="Arial" w:cs="Arial"/>
          <w:sz w:val="20"/>
          <w:szCs w:val="20"/>
        </w:rPr>
        <w:t xml:space="preserve"> is governed by the </w:t>
      </w:r>
      <w:r w:rsidR="000603A9">
        <w:rPr>
          <w:rFonts w:ascii="Arial" w:hAnsi="Arial" w:cs="Arial"/>
          <w:sz w:val="20"/>
          <w:szCs w:val="20"/>
        </w:rPr>
        <w:t>Bank</w:t>
      </w:r>
      <w:r w:rsidRPr="00423312">
        <w:rPr>
          <w:rFonts w:ascii="Arial" w:hAnsi="Arial" w:cs="Arial"/>
          <w:sz w:val="20"/>
          <w:szCs w:val="20"/>
        </w:rPr>
        <w:t>’s AHP Policies and Procedures.</w:t>
      </w:r>
    </w:p>
    <w:p w14:paraId="242B8197" w14:textId="4C8AFC29" w:rsidR="00DB124E" w:rsidRPr="00423312" w:rsidRDefault="00DB124E" w:rsidP="00DB124E">
      <w:pPr>
        <w:numPr>
          <w:ilvl w:val="0"/>
          <w:numId w:val="8"/>
        </w:numPr>
        <w:spacing w:before="200" w:after="200"/>
        <w:rPr>
          <w:rFonts w:ascii="Arial" w:hAnsi="Arial" w:cs="Arial"/>
          <w:sz w:val="20"/>
          <w:szCs w:val="20"/>
        </w:rPr>
      </w:pPr>
      <w:r w:rsidRPr="00423312">
        <w:rPr>
          <w:rFonts w:ascii="Arial" w:hAnsi="Arial" w:cs="Arial"/>
          <w:b/>
          <w:sz w:val="20"/>
          <w:szCs w:val="20"/>
        </w:rPr>
        <w:t xml:space="preserve">Effect of Foreclosure, </w:t>
      </w:r>
      <w:r w:rsidR="006B4D9E">
        <w:rPr>
          <w:rFonts w:ascii="Arial" w:hAnsi="Arial" w:cs="Arial"/>
          <w:b/>
          <w:sz w:val="20"/>
          <w:szCs w:val="20"/>
        </w:rPr>
        <w:t xml:space="preserve">Transfer by </w:t>
      </w:r>
      <w:r w:rsidRPr="00423312">
        <w:rPr>
          <w:rFonts w:ascii="Arial" w:hAnsi="Arial" w:cs="Arial"/>
          <w:b/>
          <w:sz w:val="20"/>
          <w:szCs w:val="20"/>
        </w:rPr>
        <w:t>Deed-in-lieu, Assignment of First Mortgage</w:t>
      </w:r>
      <w:r w:rsidR="003146FD">
        <w:rPr>
          <w:rFonts w:ascii="Arial" w:hAnsi="Arial" w:cs="Arial"/>
          <w:b/>
          <w:sz w:val="20"/>
          <w:szCs w:val="20"/>
        </w:rPr>
        <w:t xml:space="preserve">, </w:t>
      </w:r>
      <w:bookmarkStart w:id="3" w:name="_Hlk533772333"/>
      <w:r w:rsidR="003146FD">
        <w:rPr>
          <w:rFonts w:ascii="Arial" w:hAnsi="Arial" w:cs="Arial"/>
          <w:b/>
          <w:sz w:val="20"/>
          <w:szCs w:val="20"/>
        </w:rPr>
        <w:t>or Death of Owner</w:t>
      </w:r>
      <w:bookmarkEnd w:id="3"/>
      <w:r w:rsidRPr="00423312">
        <w:rPr>
          <w:rFonts w:ascii="Arial" w:hAnsi="Arial" w:cs="Arial"/>
          <w:sz w:val="20"/>
          <w:szCs w:val="20"/>
        </w:rPr>
        <w:t xml:space="preserve">. The obligation to repay the Subsidy to Lender and to the </w:t>
      </w:r>
      <w:r w:rsidR="000603A9">
        <w:rPr>
          <w:rFonts w:ascii="Arial" w:hAnsi="Arial" w:cs="Arial"/>
          <w:sz w:val="20"/>
          <w:szCs w:val="20"/>
        </w:rPr>
        <w:t>Bank</w:t>
      </w:r>
      <w:r w:rsidRPr="00423312">
        <w:rPr>
          <w:rFonts w:ascii="Arial" w:hAnsi="Arial" w:cs="Arial"/>
          <w:sz w:val="20"/>
          <w:szCs w:val="20"/>
        </w:rPr>
        <w:t xml:space="preserve"> </w:t>
      </w:r>
      <w:r w:rsidR="00CF3844" w:rsidRPr="00423312">
        <w:rPr>
          <w:rFonts w:ascii="Arial" w:hAnsi="Arial" w:cs="Arial"/>
          <w:sz w:val="20"/>
          <w:szCs w:val="20"/>
        </w:rPr>
        <w:t xml:space="preserve">and the requirement that the AHP-Assisted property be occupied during the retention period </w:t>
      </w:r>
      <w:r w:rsidRPr="00423312">
        <w:rPr>
          <w:rFonts w:ascii="Arial" w:hAnsi="Arial" w:cs="Arial"/>
          <w:sz w:val="20"/>
          <w:szCs w:val="20"/>
        </w:rPr>
        <w:t>shall terminate if title to the AHP-Assisted Unit is transferred by foreclosure or deed-in-lieu of foreclosure, if the first mortgage on the AHP</w:t>
      </w:r>
      <w:r w:rsidR="00D04AC5" w:rsidRPr="00423312">
        <w:rPr>
          <w:rFonts w:ascii="Arial" w:hAnsi="Arial" w:cs="Arial"/>
          <w:sz w:val="20"/>
          <w:szCs w:val="20"/>
        </w:rPr>
        <w:t>-</w:t>
      </w:r>
      <w:r w:rsidRPr="00423312">
        <w:rPr>
          <w:rFonts w:ascii="Arial" w:hAnsi="Arial" w:cs="Arial"/>
          <w:sz w:val="20"/>
          <w:szCs w:val="20"/>
        </w:rPr>
        <w:t xml:space="preserve"> Assisted Unit is assigned to</w:t>
      </w:r>
      <w:r w:rsidR="003146FD">
        <w:rPr>
          <w:rFonts w:ascii="Arial" w:hAnsi="Arial" w:cs="Arial"/>
          <w:sz w:val="20"/>
          <w:szCs w:val="20"/>
        </w:rPr>
        <w:t xml:space="preserve"> </w:t>
      </w:r>
      <w:r w:rsidR="006B4D9E">
        <w:rPr>
          <w:rFonts w:ascii="Arial" w:hAnsi="Arial" w:cs="Arial"/>
          <w:sz w:val="20"/>
          <w:szCs w:val="20"/>
        </w:rPr>
        <w:t xml:space="preserve">the </w:t>
      </w:r>
      <w:r w:rsidR="006B4D9E" w:rsidRPr="006B4D9E">
        <w:rPr>
          <w:rFonts w:ascii="Arial" w:hAnsi="Arial" w:cs="Arial"/>
          <w:sz w:val="20"/>
          <w:szCs w:val="20"/>
        </w:rPr>
        <w:t xml:space="preserve">Department of Housing and Urban Development (HUD) </w:t>
      </w:r>
      <w:bookmarkStart w:id="4" w:name="_Hlk533772392"/>
      <w:r w:rsidR="003F03F2">
        <w:rPr>
          <w:rFonts w:ascii="Arial" w:hAnsi="Arial" w:cs="Arial"/>
          <w:sz w:val="20"/>
          <w:szCs w:val="20"/>
        </w:rPr>
        <w:t>, or after the death of the Owner</w:t>
      </w:r>
      <w:bookmarkEnd w:id="4"/>
      <w:r w:rsidRPr="00423312">
        <w:rPr>
          <w:rFonts w:ascii="Arial" w:hAnsi="Arial" w:cs="Arial"/>
          <w:sz w:val="20"/>
          <w:szCs w:val="20"/>
        </w:rPr>
        <w:t>.</w:t>
      </w:r>
    </w:p>
    <w:p w14:paraId="341730CF" w14:textId="2139D24C" w:rsidR="00FC61E5" w:rsidRPr="00423312" w:rsidRDefault="00FC61E5" w:rsidP="00B7233F">
      <w:pPr>
        <w:numPr>
          <w:ilvl w:val="0"/>
          <w:numId w:val="8"/>
        </w:numPr>
        <w:spacing w:before="200" w:after="200"/>
        <w:rPr>
          <w:rFonts w:ascii="Arial" w:hAnsi="Arial" w:cs="Arial"/>
          <w:sz w:val="20"/>
          <w:szCs w:val="20"/>
        </w:rPr>
      </w:pPr>
      <w:r w:rsidRPr="00423312">
        <w:rPr>
          <w:rFonts w:ascii="Arial" w:hAnsi="Arial" w:cs="Arial"/>
          <w:b/>
          <w:sz w:val="20"/>
          <w:szCs w:val="20"/>
        </w:rPr>
        <w:t>Monitoring.</w:t>
      </w:r>
      <w:r w:rsidR="00B7233F" w:rsidRPr="00423312">
        <w:rPr>
          <w:rFonts w:ascii="Arial" w:hAnsi="Arial" w:cs="Arial"/>
          <w:b/>
          <w:sz w:val="20"/>
          <w:szCs w:val="20"/>
        </w:rPr>
        <w:t xml:space="preserve"> </w:t>
      </w:r>
      <w:r w:rsidRPr="00890231">
        <w:rPr>
          <w:rFonts w:ascii="Arial" w:hAnsi="Arial" w:cs="Arial"/>
          <w:sz w:val="20"/>
          <w:szCs w:val="20"/>
        </w:rPr>
        <w:t>Owner</w:t>
      </w:r>
      <w:r w:rsidRPr="00423312">
        <w:rPr>
          <w:rFonts w:ascii="Arial" w:hAnsi="Arial" w:cs="Arial"/>
          <w:b/>
          <w:sz w:val="20"/>
          <w:szCs w:val="20"/>
        </w:rPr>
        <w:t xml:space="preserve"> </w:t>
      </w:r>
      <w:r w:rsidRPr="00AD5974">
        <w:rPr>
          <w:rFonts w:ascii="Arial" w:hAnsi="Arial" w:cs="Arial"/>
          <w:sz w:val="20"/>
          <w:szCs w:val="20"/>
        </w:rPr>
        <w:t>agr</w:t>
      </w:r>
      <w:r w:rsidRPr="00423312">
        <w:rPr>
          <w:rFonts w:ascii="Arial" w:hAnsi="Arial" w:cs="Arial"/>
          <w:sz w:val="20"/>
          <w:szCs w:val="20"/>
        </w:rPr>
        <w:t xml:space="preserve">ees to comply with all requests by Lender for information or documentation arising from Lender’s obligations to obtain information </w:t>
      </w:r>
      <w:r w:rsidRPr="00890231">
        <w:rPr>
          <w:rFonts w:ascii="Arial" w:hAnsi="Arial" w:cs="Arial"/>
          <w:sz w:val="20"/>
          <w:szCs w:val="20"/>
        </w:rPr>
        <w:t>from the Owner</w:t>
      </w:r>
      <w:r w:rsidRPr="00423312">
        <w:rPr>
          <w:rFonts w:ascii="Arial" w:hAnsi="Arial" w:cs="Arial"/>
          <w:sz w:val="20"/>
          <w:szCs w:val="20"/>
        </w:rPr>
        <w:t xml:space="preserve"> under the AHP Regulation, AHP Application, AHP Agreement, or the </w:t>
      </w:r>
      <w:r w:rsidR="000603A9">
        <w:rPr>
          <w:rFonts w:ascii="Arial" w:hAnsi="Arial" w:cs="Arial"/>
          <w:sz w:val="20"/>
          <w:szCs w:val="20"/>
        </w:rPr>
        <w:t>Bank</w:t>
      </w:r>
      <w:r w:rsidRPr="00423312">
        <w:rPr>
          <w:rFonts w:ascii="Arial" w:hAnsi="Arial" w:cs="Arial"/>
          <w:sz w:val="20"/>
          <w:szCs w:val="20"/>
        </w:rPr>
        <w:t>’s Policies and Procedures.</w:t>
      </w:r>
      <w:r w:rsidR="00B7233F" w:rsidRPr="00423312">
        <w:rPr>
          <w:rFonts w:ascii="Arial" w:hAnsi="Arial" w:cs="Arial"/>
          <w:sz w:val="20"/>
          <w:szCs w:val="20"/>
        </w:rPr>
        <w:t xml:space="preserve"> </w:t>
      </w:r>
    </w:p>
    <w:p w14:paraId="78B83C74"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Manner and Place of Payment</w:t>
      </w:r>
      <w:r w:rsidRPr="00423312">
        <w:rPr>
          <w:rFonts w:ascii="Arial" w:hAnsi="Arial" w:cs="Arial"/>
          <w:sz w:val="20"/>
          <w:szCs w:val="20"/>
        </w:rPr>
        <w:t xml:space="preserve">. All payments due under this Note shall be payable in lawful money of the United States of America at the office of Lender or at such other address as Lender may provide to Owner. </w:t>
      </w:r>
    </w:p>
    <w:p w14:paraId="4EF42460" w14:textId="77777777" w:rsidR="00AF5136" w:rsidRDefault="00295829" w:rsidP="00B7233F">
      <w:pPr>
        <w:numPr>
          <w:ilvl w:val="0"/>
          <w:numId w:val="8"/>
        </w:numPr>
        <w:spacing w:before="200" w:after="200"/>
        <w:rPr>
          <w:rFonts w:ascii="Arial" w:hAnsi="Arial" w:cs="Arial"/>
          <w:sz w:val="20"/>
          <w:szCs w:val="20"/>
        </w:rPr>
      </w:pPr>
      <w:r w:rsidRPr="00AF5136">
        <w:rPr>
          <w:rFonts w:ascii="Arial" w:hAnsi="Arial" w:cs="Arial"/>
          <w:b/>
          <w:sz w:val="20"/>
          <w:szCs w:val="20"/>
        </w:rPr>
        <w:t>No Offset</w:t>
      </w:r>
      <w:r w:rsidRPr="00AF5136">
        <w:rPr>
          <w:rFonts w:ascii="Arial" w:hAnsi="Arial" w:cs="Arial"/>
          <w:sz w:val="20"/>
          <w:szCs w:val="20"/>
        </w:rPr>
        <w:t>.</w:t>
      </w:r>
      <w:r w:rsidR="00B7233F" w:rsidRPr="00AF5136">
        <w:rPr>
          <w:rFonts w:ascii="Arial" w:hAnsi="Arial" w:cs="Arial"/>
          <w:sz w:val="20"/>
          <w:szCs w:val="20"/>
        </w:rPr>
        <w:t xml:space="preserve"> </w:t>
      </w:r>
      <w:r w:rsidRPr="00AF5136">
        <w:rPr>
          <w:rFonts w:ascii="Arial" w:hAnsi="Arial" w:cs="Arial"/>
          <w:sz w:val="20"/>
          <w:szCs w:val="20"/>
        </w:rPr>
        <w:t>Owner hereby waives any rights of offset it now has or may hereafter have against Lender, its successors and assigns, and agrees to make the payments called for herein in accordan</w:t>
      </w:r>
      <w:r w:rsidR="00AF5136" w:rsidRPr="00AF5136">
        <w:rPr>
          <w:rFonts w:ascii="Arial" w:hAnsi="Arial" w:cs="Arial"/>
          <w:sz w:val="20"/>
          <w:szCs w:val="20"/>
        </w:rPr>
        <w:t>ce with the terms of this Note.</w:t>
      </w:r>
    </w:p>
    <w:p w14:paraId="072468FF" w14:textId="77777777" w:rsidR="00295829" w:rsidRPr="00AF5136" w:rsidRDefault="00295829" w:rsidP="00B7233F">
      <w:pPr>
        <w:numPr>
          <w:ilvl w:val="0"/>
          <w:numId w:val="8"/>
        </w:numPr>
        <w:spacing w:before="200" w:after="200"/>
        <w:rPr>
          <w:rFonts w:ascii="Arial" w:hAnsi="Arial" w:cs="Arial"/>
          <w:sz w:val="20"/>
          <w:szCs w:val="20"/>
        </w:rPr>
      </w:pPr>
      <w:r w:rsidRPr="00AF5136">
        <w:rPr>
          <w:rFonts w:ascii="Arial" w:hAnsi="Arial" w:cs="Arial"/>
          <w:b/>
          <w:sz w:val="20"/>
          <w:szCs w:val="20"/>
        </w:rPr>
        <w:t>Waiver</w:t>
      </w:r>
      <w:r w:rsidRPr="00AF5136">
        <w:rPr>
          <w:rFonts w:ascii="Arial" w:hAnsi="Arial" w:cs="Arial"/>
          <w:sz w:val="20"/>
          <w:szCs w:val="20"/>
        </w:rPr>
        <w:t>.</w:t>
      </w:r>
      <w:r w:rsidR="00B7233F" w:rsidRPr="00AF5136">
        <w:rPr>
          <w:rFonts w:ascii="Arial" w:hAnsi="Arial" w:cs="Arial"/>
          <w:sz w:val="20"/>
          <w:szCs w:val="20"/>
        </w:rPr>
        <w:t xml:space="preserve"> </w:t>
      </w:r>
      <w:r w:rsidRPr="00AF5136">
        <w:rPr>
          <w:rFonts w:ascii="Arial" w:hAnsi="Arial" w:cs="Arial"/>
          <w:sz w:val="20"/>
          <w:szCs w:val="20"/>
        </w:rPr>
        <w:t xml:space="preserve">Owner and any endorsers or guarantors of this Note, for themselves, their heirs, legal representatives, successors and assigns, respectively, severally waive diligence, presentment, protest, and demand, and notice of protest, dishonor and non-payment of this Note, and expressly waive any rights to be released by reason of any extension of time or change in terms of payment, or change, alteration or release of any security given for the payments hereof, and expressly waive the right to plead any and all statutes of limitations as a defense to any demand on this Note or agreement to pay the same, and jointly and severally agree to pay all costs of collection when incurred. </w:t>
      </w:r>
    </w:p>
    <w:p w14:paraId="1ADCA441"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Attorneys' Fees</w:t>
      </w:r>
      <w:r w:rsidRPr="00423312">
        <w:rPr>
          <w:rFonts w:ascii="Arial" w:hAnsi="Arial" w:cs="Arial"/>
          <w:sz w:val="20"/>
          <w:szCs w:val="20"/>
        </w:rPr>
        <w:t>.</w:t>
      </w:r>
      <w:r w:rsidR="00B7233F" w:rsidRPr="00423312">
        <w:rPr>
          <w:rFonts w:ascii="Arial" w:hAnsi="Arial" w:cs="Arial"/>
          <w:sz w:val="20"/>
          <w:szCs w:val="20"/>
        </w:rPr>
        <w:t xml:space="preserve"> </w:t>
      </w:r>
      <w:r w:rsidRPr="00423312">
        <w:rPr>
          <w:rFonts w:ascii="Arial" w:hAnsi="Arial" w:cs="Arial"/>
          <w:sz w:val="20"/>
          <w:szCs w:val="20"/>
        </w:rPr>
        <w:t xml:space="preserve">If an action is instituted on this Note, the undersigned promises to pay, in addition to the costs and disbursements allowed by law, such sum as a court may adjudge reasonable as attorneys' fees in such action. </w:t>
      </w:r>
    </w:p>
    <w:p w14:paraId="1D960C22"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Security</w:t>
      </w:r>
      <w:r w:rsidRPr="00423312">
        <w:rPr>
          <w:rFonts w:ascii="Arial" w:hAnsi="Arial" w:cs="Arial"/>
          <w:sz w:val="20"/>
          <w:szCs w:val="20"/>
        </w:rPr>
        <w:t>.</w:t>
      </w:r>
      <w:r w:rsidR="00B7233F" w:rsidRPr="00423312">
        <w:rPr>
          <w:rFonts w:ascii="Arial" w:hAnsi="Arial" w:cs="Arial"/>
          <w:sz w:val="20"/>
          <w:szCs w:val="20"/>
        </w:rPr>
        <w:t xml:space="preserve"> </w:t>
      </w:r>
      <w:r w:rsidRPr="00423312">
        <w:rPr>
          <w:rFonts w:ascii="Arial" w:hAnsi="Arial" w:cs="Arial"/>
          <w:sz w:val="20"/>
          <w:szCs w:val="20"/>
        </w:rPr>
        <w:t>This Note is secured by the Deed of Trust.</w:t>
      </w:r>
      <w:r w:rsidR="00B7233F" w:rsidRPr="00423312">
        <w:rPr>
          <w:rFonts w:ascii="Arial" w:hAnsi="Arial" w:cs="Arial"/>
          <w:sz w:val="20"/>
          <w:szCs w:val="20"/>
        </w:rPr>
        <w:t xml:space="preserve"> </w:t>
      </w:r>
    </w:p>
    <w:p w14:paraId="205C48DF" w14:textId="77777777" w:rsidR="00295829" w:rsidRPr="00423312"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Modifications and Waivers</w:t>
      </w:r>
      <w:r w:rsidRPr="00423312">
        <w:rPr>
          <w:rFonts w:ascii="Arial" w:hAnsi="Arial" w:cs="Arial"/>
          <w:sz w:val="20"/>
          <w:szCs w:val="20"/>
        </w:rPr>
        <w:t>.</w:t>
      </w:r>
      <w:r w:rsidR="00B7233F" w:rsidRPr="00423312">
        <w:rPr>
          <w:rFonts w:ascii="Arial" w:hAnsi="Arial" w:cs="Arial"/>
          <w:sz w:val="20"/>
          <w:szCs w:val="20"/>
        </w:rPr>
        <w:t xml:space="preserve"> </w:t>
      </w:r>
      <w:r w:rsidRPr="00423312">
        <w:rPr>
          <w:rFonts w:ascii="Arial" w:hAnsi="Arial" w:cs="Arial"/>
          <w:sz w:val="20"/>
          <w:szCs w:val="20"/>
        </w:rPr>
        <w:t>No provision of this Note may be waived, modified, discharged or canceled orally, but only in writing and signed by the party against whom enforcement of any waiver, modification, discharge or cancellation is sought. In case any one or more of the provisions contained in this Note shall for any reason be held to be invalid, illegal, or unenforceable in any respect, such invalidity, illegality or unenforceability shall not affect any other provisions hereof, and this Note shall be construed as if such invalid, illegal or unenforceable provision(s) had never been included.</w:t>
      </w:r>
      <w:r w:rsidR="00B7233F" w:rsidRPr="00423312">
        <w:rPr>
          <w:rFonts w:ascii="Arial" w:hAnsi="Arial" w:cs="Arial"/>
          <w:sz w:val="20"/>
          <w:szCs w:val="20"/>
        </w:rPr>
        <w:t xml:space="preserve"> </w:t>
      </w:r>
    </w:p>
    <w:p w14:paraId="714600A4" w14:textId="77777777" w:rsidR="00DF7A8A" w:rsidRDefault="00295829" w:rsidP="00B7233F">
      <w:pPr>
        <w:numPr>
          <w:ilvl w:val="0"/>
          <w:numId w:val="8"/>
        </w:numPr>
        <w:spacing w:before="200" w:after="200"/>
        <w:rPr>
          <w:rFonts w:ascii="Arial" w:hAnsi="Arial" w:cs="Arial"/>
          <w:sz w:val="20"/>
          <w:szCs w:val="20"/>
        </w:rPr>
      </w:pPr>
      <w:r w:rsidRPr="00423312">
        <w:rPr>
          <w:rFonts w:ascii="Arial" w:hAnsi="Arial" w:cs="Arial"/>
          <w:b/>
          <w:sz w:val="20"/>
          <w:szCs w:val="20"/>
        </w:rPr>
        <w:t>Governing Law</w:t>
      </w:r>
      <w:r w:rsidRPr="00423312">
        <w:rPr>
          <w:rFonts w:ascii="Arial" w:hAnsi="Arial" w:cs="Arial"/>
          <w:sz w:val="20"/>
          <w:szCs w:val="20"/>
        </w:rPr>
        <w:t>.</w:t>
      </w:r>
      <w:r w:rsidR="00B7233F" w:rsidRPr="00423312">
        <w:rPr>
          <w:rFonts w:ascii="Arial" w:hAnsi="Arial" w:cs="Arial"/>
          <w:sz w:val="20"/>
          <w:szCs w:val="20"/>
        </w:rPr>
        <w:t xml:space="preserve"> </w:t>
      </w:r>
      <w:r w:rsidRPr="00423312">
        <w:rPr>
          <w:rFonts w:ascii="Arial" w:hAnsi="Arial" w:cs="Arial"/>
          <w:sz w:val="20"/>
          <w:szCs w:val="20"/>
        </w:rPr>
        <w:t>The provisions of this Note shall be governed by the laws of the jurisdiction in which the real property which is subject to the Deed of Trust securing this Note is located except to the extent such law is contrary to or inconsistent with the laws, rules or regulations of the United States.</w:t>
      </w:r>
    </w:p>
    <w:p w14:paraId="7711FDD0" w14:textId="0A89B7EE" w:rsidR="00DF7A8A" w:rsidRPr="009A3106" w:rsidRDefault="00DF7A8A" w:rsidP="00DF7A8A">
      <w:pPr>
        <w:numPr>
          <w:ilvl w:val="0"/>
          <w:numId w:val="8"/>
        </w:numPr>
        <w:spacing w:before="200" w:after="200"/>
        <w:rPr>
          <w:rFonts w:ascii="Arial" w:hAnsi="Arial" w:cs="Arial"/>
          <w:sz w:val="20"/>
          <w:szCs w:val="20"/>
        </w:rPr>
      </w:pPr>
      <w:r w:rsidRPr="001529C8">
        <w:rPr>
          <w:rFonts w:ascii="Arial" w:hAnsi="Arial" w:cs="Arial"/>
          <w:b/>
          <w:sz w:val="20"/>
          <w:szCs w:val="20"/>
        </w:rPr>
        <w:t xml:space="preserve">Counterparts. </w:t>
      </w:r>
      <w:r w:rsidRPr="003931E8">
        <w:rPr>
          <w:rFonts w:ascii="Arial" w:hAnsi="Arial" w:cs="Arial"/>
          <w:sz w:val="20"/>
          <w:szCs w:val="20"/>
        </w:rPr>
        <w:t>This Note may be executed in any number of counterparts, each of which shall be deemed to be an original, and such counterparts shall constitute and be one and the same instrument.</w:t>
      </w:r>
    </w:p>
    <w:p w14:paraId="0F6468A8" w14:textId="3D5B43D4" w:rsidR="00295829" w:rsidRPr="00423312" w:rsidRDefault="00295829" w:rsidP="00DF7A8A">
      <w:pPr>
        <w:spacing w:before="200" w:after="200"/>
        <w:rPr>
          <w:rFonts w:ascii="Arial" w:hAnsi="Arial" w:cs="Arial"/>
          <w:sz w:val="20"/>
          <w:szCs w:val="20"/>
        </w:rPr>
      </w:pPr>
      <w:r w:rsidRPr="00423312">
        <w:rPr>
          <w:rFonts w:ascii="Arial" w:hAnsi="Arial" w:cs="Arial"/>
          <w:sz w:val="20"/>
          <w:szCs w:val="20"/>
        </w:rPr>
        <w:t xml:space="preserve"> </w:t>
      </w:r>
    </w:p>
    <w:tbl>
      <w:tblPr>
        <w:tblW w:w="0" w:type="auto"/>
        <w:tblLook w:val="0000" w:firstRow="0" w:lastRow="0" w:firstColumn="0" w:lastColumn="0" w:noHBand="0" w:noVBand="0"/>
      </w:tblPr>
      <w:tblGrid>
        <w:gridCol w:w="4248"/>
        <w:gridCol w:w="4608"/>
      </w:tblGrid>
      <w:tr w:rsidR="00295829" w:rsidRPr="00423312" w14:paraId="1E2DC603" w14:textId="77777777">
        <w:tc>
          <w:tcPr>
            <w:tcW w:w="4248" w:type="dxa"/>
          </w:tcPr>
          <w:p w14:paraId="6949CC29" w14:textId="77777777" w:rsidR="00295829" w:rsidRPr="00423312" w:rsidRDefault="00295829" w:rsidP="00B7233F">
            <w:pPr>
              <w:rPr>
                <w:rFonts w:ascii="Arial" w:hAnsi="Arial" w:cs="Arial"/>
                <w:sz w:val="20"/>
                <w:szCs w:val="20"/>
              </w:rPr>
            </w:pPr>
          </w:p>
        </w:tc>
        <w:tc>
          <w:tcPr>
            <w:tcW w:w="4608" w:type="dxa"/>
          </w:tcPr>
          <w:p w14:paraId="4F2A2081" w14:textId="77777777" w:rsidR="00295829" w:rsidRPr="00423312" w:rsidRDefault="00295829" w:rsidP="00B7233F">
            <w:pPr>
              <w:rPr>
                <w:rFonts w:ascii="Arial" w:hAnsi="Arial" w:cs="Arial"/>
                <w:sz w:val="20"/>
                <w:szCs w:val="20"/>
              </w:rPr>
            </w:pPr>
            <w:r w:rsidRPr="00423312">
              <w:rPr>
                <w:rFonts w:ascii="Arial" w:hAnsi="Arial" w:cs="Arial"/>
                <w:sz w:val="20"/>
                <w:szCs w:val="20"/>
              </w:rPr>
              <w:t>Owner</w:t>
            </w:r>
          </w:p>
        </w:tc>
      </w:tr>
      <w:tr w:rsidR="00295829" w:rsidRPr="00B7233F" w14:paraId="5A5A7B6B" w14:textId="77777777">
        <w:tc>
          <w:tcPr>
            <w:tcW w:w="4248" w:type="dxa"/>
          </w:tcPr>
          <w:p w14:paraId="5D123010" w14:textId="77777777" w:rsidR="00295829" w:rsidRPr="00423312" w:rsidRDefault="00295829" w:rsidP="00B7233F">
            <w:pPr>
              <w:rPr>
                <w:rFonts w:ascii="Arial" w:hAnsi="Arial" w:cs="Arial"/>
                <w:sz w:val="20"/>
                <w:szCs w:val="20"/>
              </w:rPr>
            </w:pPr>
          </w:p>
        </w:tc>
        <w:tc>
          <w:tcPr>
            <w:tcW w:w="4608" w:type="dxa"/>
          </w:tcPr>
          <w:p w14:paraId="1DCAC0E3" w14:textId="77777777" w:rsidR="00497A7A" w:rsidRPr="00423312" w:rsidRDefault="00497A7A" w:rsidP="00F74748">
            <w:pPr>
              <w:rPr>
                <w:rFonts w:ascii="Arial" w:hAnsi="Arial" w:cs="Arial"/>
                <w:sz w:val="20"/>
                <w:szCs w:val="20"/>
              </w:rPr>
            </w:pPr>
          </w:p>
          <w:p w14:paraId="06568D99" w14:textId="77777777" w:rsidR="00497A7A" w:rsidRPr="00423312" w:rsidRDefault="00497A7A" w:rsidP="00F74748">
            <w:pPr>
              <w:rPr>
                <w:rFonts w:ascii="Arial" w:hAnsi="Arial" w:cs="Arial"/>
                <w:sz w:val="20"/>
                <w:szCs w:val="20"/>
              </w:rPr>
            </w:pPr>
          </w:p>
          <w:p w14:paraId="4182E4D9" w14:textId="77777777" w:rsidR="00497A7A" w:rsidRPr="00423312" w:rsidRDefault="006B4F03" w:rsidP="00497A7A">
            <w:pPr>
              <w:rPr>
                <w:rFonts w:ascii="Arial" w:hAnsi="Arial" w:cs="Arial"/>
                <w:sz w:val="20"/>
                <w:szCs w:val="20"/>
                <w:u w:val="single"/>
              </w:rPr>
            </w:pPr>
            <w:r w:rsidRPr="00423312">
              <w:rPr>
                <w:rFonts w:ascii="Arial" w:hAnsi="Arial" w:cs="Arial"/>
                <w:sz w:val="20"/>
                <w:szCs w:val="20"/>
                <w:u w:val="single"/>
              </w:rPr>
              <w:fldChar w:fldCharType="begin">
                <w:ffData>
                  <w:name w:val="Text3"/>
                  <w:enabled/>
                  <w:calcOnExit w:val="0"/>
                  <w:textInput/>
                </w:ffData>
              </w:fldChar>
            </w:r>
            <w:r w:rsidR="00497A7A" w:rsidRPr="00423312">
              <w:rPr>
                <w:rFonts w:ascii="Arial" w:hAnsi="Arial" w:cs="Arial"/>
                <w:sz w:val="20"/>
                <w:szCs w:val="20"/>
                <w:u w:val="single"/>
              </w:rPr>
              <w:instrText xml:space="preserve"> FORMTEXT </w:instrText>
            </w:r>
            <w:r w:rsidRPr="00423312">
              <w:rPr>
                <w:rFonts w:ascii="Arial" w:hAnsi="Arial" w:cs="Arial"/>
                <w:sz w:val="20"/>
                <w:szCs w:val="20"/>
                <w:u w:val="single"/>
              </w:rPr>
            </w:r>
            <w:r w:rsidRPr="00423312">
              <w:rPr>
                <w:rFonts w:ascii="Arial" w:hAnsi="Arial" w:cs="Arial"/>
                <w:sz w:val="20"/>
                <w:szCs w:val="20"/>
                <w:u w:val="single"/>
              </w:rPr>
              <w:fldChar w:fldCharType="separate"/>
            </w:r>
            <w:r w:rsidR="00497A7A" w:rsidRPr="00423312">
              <w:rPr>
                <w:rFonts w:ascii="Arial" w:hAnsi="Arial" w:cs="Arial"/>
                <w:noProof/>
                <w:sz w:val="20"/>
                <w:szCs w:val="20"/>
                <w:u w:val="single"/>
              </w:rPr>
              <w:t> </w:t>
            </w:r>
            <w:r w:rsidR="00497A7A" w:rsidRPr="00423312">
              <w:rPr>
                <w:rFonts w:ascii="Arial" w:hAnsi="Arial" w:cs="Arial"/>
                <w:noProof/>
                <w:sz w:val="20"/>
                <w:szCs w:val="20"/>
                <w:u w:val="single"/>
              </w:rPr>
              <w:t> </w:t>
            </w:r>
            <w:r w:rsidR="00497A7A" w:rsidRPr="00423312">
              <w:rPr>
                <w:rFonts w:ascii="Arial" w:hAnsi="Arial" w:cs="Arial"/>
                <w:noProof/>
                <w:sz w:val="20"/>
                <w:szCs w:val="20"/>
                <w:u w:val="single"/>
              </w:rPr>
              <w:t> </w:t>
            </w:r>
            <w:r w:rsidR="00497A7A" w:rsidRPr="00423312">
              <w:rPr>
                <w:rFonts w:ascii="Arial" w:hAnsi="Arial" w:cs="Arial"/>
                <w:noProof/>
                <w:sz w:val="20"/>
                <w:szCs w:val="20"/>
                <w:u w:val="single"/>
              </w:rPr>
              <w:t> </w:t>
            </w:r>
            <w:r w:rsidR="00497A7A" w:rsidRPr="00423312">
              <w:rPr>
                <w:rFonts w:ascii="Arial" w:hAnsi="Arial" w:cs="Arial"/>
                <w:noProof/>
                <w:sz w:val="20"/>
                <w:szCs w:val="20"/>
                <w:u w:val="single"/>
              </w:rPr>
              <w:t> </w:t>
            </w:r>
            <w:r w:rsidRPr="00423312">
              <w:rPr>
                <w:rFonts w:ascii="Arial" w:hAnsi="Arial" w:cs="Arial"/>
                <w:sz w:val="20"/>
                <w:szCs w:val="20"/>
                <w:u w:val="single"/>
              </w:rPr>
              <w:fldChar w:fldCharType="end"/>
            </w:r>
          </w:p>
          <w:p w14:paraId="5592307F" w14:textId="77777777" w:rsidR="00497A7A" w:rsidRPr="00423312" w:rsidRDefault="00497A7A" w:rsidP="00F74748">
            <w:pPr>
              <w:rPr>
                <w:rFonts w:ascii="Arial" w:hAnsi="Arial" w:cs="Arial"/>
                <w:sz w:val="20"/>
                <w:szCs w:val="20"/>
              </w:rPr>
            </w:pPr>
          </w:p>
          <w:p w14:paraId="645B65E8" w14:textId="77777777" w:rsidR="00497A7A" w:rsidRPr="00423312" w:rsidRDefault="00497A7A" w:rsidP="00F74748">
            <w:pPr>
              <w:rPr>
                <w:rFonts w:ascii="Arial" w:hAnsi="Arial" w:cs="Arial"/>
                <w:sz w:val="20"/>
                <w:szCs w:val="20"/>
              </w:rPr>
            </w:pPr>
          </w:p>
          <w:p w14:paraId="2DBD8315" w14:textId="649CAB0B" w:rsidR="00295829" w:rsidRPr="00B7233F" w:rsidRDefault="00F74748" w:rsidP="00B7233F">
            <w:pPr>
              <w:rPr>
                <w:rFonts w:ascii="Arial" w:hAnsi="Arial" w:cs="Arial"/>
                <w:sz w:val="20"/>
                <w:szCs w:val="20"/>
              </w:rPr>
            </w:pPr>
            <w:r w:rsidRPr="00423312">
              <w:rPr>
                <w:rFonts w:ascii="Arial" w:hAnsi="Arial" w:cs="Arial"/>
                <w:sz w:val="20"/>
                <w:szCs w:val="20"/>
              </w:rPr>
              <w:t>_____________________________</w:t>
            </w:r>
          </w:p>
        </w:tc>
      </w:tr>
    </w:tbl>
    <w:p w14:paraId="5C3D99F3" w14:textId="77777777" w:rsidR="00295829" w:rsidRPr="00B7233F" w:rsidRDefault="00295829" w:rsidP="00973A61">
      <w:pPr>
        <w:rPr>
          <w:rFonts w:ascii="Arial" w:hAnsi="Arial" w:cs="Arial"/>
          <w:sz w:val="20"/>
          <w:szCs w:val="20"/>
        </w:rPr>
      </w:pPr>
    </w:p>
    <w:sectPr w:rsidR="00295829" w:rsidRPr="00B7233F" w:rsidSect="00D90901">
      <w:pgSz w:w="12240" w:h="15840" w:code="1"/>
      <w:pgMar w:top="1080" w:right="720" w:bottom="630" w:left="720" w:header="720" w:footer="52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666D7" w14:textId="77777777" w:rsidR="003433AF" w:rsidRDefault="003433AF">
      <w:r>
        <w:separator/>
      </w:r>
    </w:p>
  </w:endnote>
  <w:endnote w:type="continuationSeparator" w:id="0">
    <w:p w14:paraId="48D6758E" w14:textId="77777777" w:rsidR="003433AF" w:rsidRDefault="0034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BDE8" w14:textId="65E42A1B" w:rsidR="003433AF" w:rsidRDefault="001507C9" w:rsidP="00CC22E7">
    <w:pPr>
      <w:pStyle w:val="Footer"/>
      <w:tabs>
        <w:tab w:val="clear" w:pos="4320"/>
        <w:tab w:val="clear" w:pos="8640"/>
        <w:tab w:val="center" w:pos="4680"/>
        <w:tab w:val="right" w:pos="10800"/>
      </w:tabs>
      <w:spacing w:line="200" w:lineRule="exact"/>
      <w:rPr>
        <w:rStyle w:val="PageNumber"/>
      </w:rPr>
    </w:pPr>
    <w:r>
      <w:rPr>
        <w:rFonts w:ascii="Arial" w:hAnsi="Arial" w:cs="Arial"/>
        <w:noProof/>
        <w:sz w:val="16"/>
        <w:szCs w:val="16"/>
      </w:rPr>
      <mc:AlternateContent>
        <mc:Choice Requires="wps">
          <w:drawing>
            <wp:anchor distT="0" distB="0" distL="114300" distR="114300" simplePos="0" relativeHeight="251659264" behindDoc="0" locked="0" layoutInCell="0" allowOverlap="1" wp14:anchorId="7D303EF2" wp14:editId="3A8E9C60">
              <wp:simplePos x="0" y="0"/>
              <wp:positionH relativeFrom="page">
                <wp:posOffset>0</wp:posOffset>
              </wp:positionH>
              <wp:positionV relativeFrom="page">
                <wp:posOffset>9594215</wp:posOffset>
              </wp:positionV>
              <wp:extent cx="7772400" cy="273050"/>
              <wp:effectExtent l="0" t="0" r="0" b="12700"/>
              <wp:wrapNone/>
              <wp:docPr id="1" name="MSIPCM9a494531b4acec10abf276d1" descr="{&quot;HashCode&quot;:13095256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484E0" w14:textId="71E3CB71" w:rsidR="001507C9" w:rsidRPr="00366981" w:rsidRDefault="001507C9" w:rsidP="001507C9">
                          <w:pPr>
                            <w:rPr>
                              <w:rFonts w:ascii="Calibri" w:hAnsi="Calibri"/>
                              <w:color w:val="FF0000"/>
                              <w:sz w:val="18"/>
                            </w:rPr>
                          </w:pPr>
                          <w:r w:rsidRPr="00366981">
                            <w:rPr>
                              <w:rFonts w:ascii="Calibri" w:hAnsi="Calibri"/>
                              <w:color w:val="FF0000"/>
                              <w:sz w:val="18"/>
                            </w:rPr>
                            <w:t xml:space="preserve">FHLBank San Francisco | </w:t>
                          </w:r>
                          <w:r w:rsidR="00DF7A8A" w:rsidRPr="00366981">
                            <w:rPr>
                              <w:rFonts w:ascii="Calibri" w:hAnsi="Calibri"/>
                              <w:color w:val="FF0000"/>
                              <w:sz w:val="18"/>
                            </w:rPr>
                            <w:t>Personal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303EF2" id="_x0000_t202" coordsize="21600,21600" o:spt="202" path="m,l,21600r21600,l21600,xe">
              <v:stroke joinstyle="miter"/>
              <v:path gradientshapeok="t" o:connecttype="rect"/>
            </v:shapetype>
            <v:shape id="MSIPCM9a494531b4acec10abf276d1" o:spid="_x0000_s1026" type="#_x0000_t202" alt="{&quot;HashCode&quot;:130952562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LGrQIAAEcFAAAOAAAAZHJzL2Uyb0RvYy54bWysVMlu2zAQvRfoPwg89NRai7fajRy4DtwG&#10;cBIDTpEzRVGWAInDkHQst+i/d0hRTpP2VPRCzsZZ3szw4rJt6uCJK12BSEk8iEjABYO8EvuUfLtf&#10;f/hIAm2oyGkNgqfkxDW5XLx9c3GUc55ACXXOVYBOhJ4fZUpKY+Q8DDUreUP1ACQXqCxANdQgq/Zh&#10;rugRvTd1mETRJDyCyqUCxrVG6VWnJAvnvyg4M3dFobkJ6pRgbsadyp2ZPcPFBZ3vFZVlxXwa9B+y&#10;aGglMOjZ1RU1NDio6g9XTcUUaCjMgEETQlFUjLsasJo4elXNrqSSu1oQHC3PMOn/55bdPm1VUOXY&#10;OxII2mCLbnbX29XNjI5mo/EwzkaUcRZHNCuS6SRHq5xrhgj+ePd4APPpK9XlCnLecfN4GM3GyXiS&#10;xO+9nlf70njtdJYMIq94qHJTevkkfpZvawzYcNG/6UzWAIarjvYOrkXOW++gu7aqaqg6vbDa4Qjg&#10;bHq7Pqt7kF4SnRPa8KKPicKfdjSOUs8RoZ1EjEz7GVoLk5drFNqOt4Vq7I29DFCPQ3Y6DxZvTcBQ&#10;OJ1Ok1GEKoa6ZDqMxm7ywufXUmnzhUMTWCIlCrN280SfNtpgRDTtTWwwAeuqrt3w1iI4pmQyRJcv&#10;NPiiFvjQ1tDlainTZq0vIIP8hHUp6JZCS7auMPiGarOlCrcA88XNNnd4FDVgEPAUCUpQ3/8mt/Y4&#10;nKglwRG3KiX68UAVJ0F9LXBskzHCYPfQcUgoR8zi0QiZrJeKQ7MC3FicNkzLkdbW1D1ZKGgecPOX&#10;NhyqqGAYNCVZT64McqjAn4Px5dLRuHGSmo3YSWZdW7QspvftA1XSA2+wZbfQLx6dv8K/s+1wXh4M&#10;FJVrjkW2g9MDjtvqeuZ/Fvsd/M47q+f/b/ELAAD//wMAUEsDBBQABgAIAAAAIQAYBUDc3gAAAAsB&#10;AAAPAAAAZHJzL2Rvd25yZXYueG1sTI/BTsMwEETvSPyDtUjcqJNAEUnjVFWlIsEBldAPcONtkmKv&#10;I9tpw9/jnOC4b0azM+V6Mppd0PnekoB0kQBDaqzqqRVw+No9vADzQZKS2hIK+EEP6+r2ppSFslf6&#10;xEsdWhZDyBdSQBfCUHDumw6N9As7IEXtZJ2RIZ6u5crJaww3mmdJ8syN7Cl+6OSA2w6b73o0AjY4&#10;pv5N786v/aHev58/glPbXIj7u2mzAhZwCn9mmOvH6lDFTkc7kvJMC4hDQqTLNMmBzXqWPUV2nNny&#10;MQdelfz/huoXAAD//wMAUEsBAi0AFAAGAAgAAAAhALaDOJL+AAAA4QEAABMAAAAAAAAAAAAAAAAA&#10;AAAAAFtDb250ZW50X1R5cGVzXS54bWxQSwECLQAUAAYACAAAACEAOP0h/9YAAACUAQAACwAAAAAA&#10;AAAAAAAAAAAvAQAAX3JlbHMvLnJlbHNQSwECLQAUAAYACAAAACEApg+Cxq0CAABHBQAADgAAAAAA&#10;AAAAAAAAAAAuAgAAZHJzL2Uyb0RvYy54bWxQSwECLQAUAAYACAAAACEAGAVA3N4AAAALAQAADwAA&#10;AAAAAAAAAAAAAAAHBQAAZHJzL2Rvd25yZXYueG1sUEsFBgAAAAAEAAQA8wAAABIGAAAAAA==&#10;" o:allowincell="f" filled="f" stroked="f" strokeweight=".5pt">
              <v:textbox inset="20pt,0,,0">
                <w:txbxContent>
                  <w:p w14:paraId="080484E0" w14:textId="71E3CB71" w:rsidR="001507C9" w:rsidRPr="00366981" w:rsidRDefault="001507C9" w:rsidP="001507C9">
                    <w:pPr>
                      <w:rPr>
                        <w:rFonts w:ascii="Calibri" w:hAnsi="Calibri"/>
                        <w:color w:val="FF0000"/>
                        <w:sz w:val="18"/>
                      </w:rPr>
                    </w:pPr>
                    <w:r w:rsidRPr="00366981">
                      <w:rPr>
                        <w:rFonts w:ascii="Calibri" w:hAnsi="Calibri"/>
                        <w:color w:val="FF0000"/>
                        <w:sz w:val="18"/>
                      </w:rPr>
                      <w:t xml:space="preserve">FHLBank San Francisco | </w:t>
                    </w:r>
                    <w:r w:rsidR="00DF7A8A" w:rsidRPr="00366981">
                      <w:rPr>
                        <w:rFonts w:ascii="Calibri" w:hAnsi="Calibri"/>
                        <w:color w:val="FF0000"/>
                        <w:sz w:val="18"/>
                      </w:rPr>
                      <w:t>Personal</w:t>
                    </w:r>
                  </w:p>
                </w:txbxContent>
              </v:textbox>
              <w10:wrap anchorx="page" anchory="page"/>
            </v:shape>
          </w:pict>
        </mc:Fallback>
      </mc:AlternateContent>
    </w:r>
    <w:r>
      <w:rPr>
        <w:rFonts w:ascii="Arial" w:hAnsi="Arial" w:cs="Arial"/>
        <w:sz w:val="16"/>
        <w:szCs w:val="16"/>
      </w:rPr>
      <w:t>Updated 12/20</w:t>
    </w:r>
    <w:r w:rsidR="003433AF">
      <w:rPr>
        <w:rFonts w:ascii="Arial" w:hAnsi="Arial" w:cs="Arial"/>
        <w:sz w:val="16"/>
        <w:szCs w:val="16"/>
      </w:rPr>
      <w:tab/>
    </w:r>
    <w:r w:rsidR="003433AF">
      <w:rPr>
        <w:rFonts w:ascii="Arial" w:hAnsi="Arial" w:cs="Arial"/>
        <w:sz w:val="16"/>
        <w:szCs w:val="16"/>
      </w:rPr>
      <w:tab/>
    </w:r>
    <w:r w:rsidR="003433AF" w:rsidRPr="00CC22E7">
      <w:rPr>
        <w:rFonts w:ascii="Arial" w:hAnsi="Arial" w:cs="Arial"/>
        <w:sz w:val="16"/>
        <w:szCs w:val="16"/>
      </w:rPr>
      <w:t xml:space="preserve">Page </w:t>
    </w:r>
    <w:r w:rsidR="003433AF" w:rsidRPr="00CC22E7">
      <w:rPr>
        <w:rFonts w:ascii="Arial" w:hAnsi="Arial" w:cs="Arial"/>
        <w:sz w:val="16"/>
        <w:szCs w:val="16"/>
      </w:rPr>
      <w:fldChar w:fldCharType="begin"/>
    </w:r>
    <w:r w:rsidR="003433AF" w:rsidRPr="00CC22E7">
      <w:rPr>
        <w:rFonts w:ascii="Arial" w:hAnsi="Arial" w:cs="Arial"/>
        <w:sz w:val="16"/>
        <w:szCs w:val="16"/>
      </w:rPr>
      <w:instrText xml:space="preserve"> PAGE </w:instrText>
    </w:r>
    <w:r w:rsidR="003433AF" w:rsidRPr="00CC22E7">
      <w:rPr>
        <w:rFonts w:ascii="Arial" w:hAnsi="Arial" w:cs="Arial"/>
        <w:sz w:val="16"/>
        <w:szCs w:val="16"/>
      </w:rPr>
      <w:fldChar w:fldCharType="separate"/>
    </w:r>
    <w:r w:rsidR="003433AF">
      <w:rPr>
        <w:rFonts w:ascii="Arial" w:hAnsi="Arial" w:cs="Arial"/>
        <w:noProof/>
        <w:sz w:val="16"/>
        <w:szCs w:val="16"/>
      </w:rPr>
      <w:t>3</w:t>
    </w:r>
    <w:r w:rsidR="003433AF" w:rsidRPr="00CC22E7">
      <w:rPr>
        <w:rFonts w:ascii="Arial" w:hAnsi="Arial" w:cs="Arial"/>
        <w:sz w:val="16"/>
        <w:szCs w:val="16"/>
      </w:rPr>
      <w:fldChar w:fldCharType="end"/>
    </w:r>
    <w:r w:rsidR="003433AF" w:rsidRPr="00CC22E7">
      <w:rPr>
        <w:rFonts w:ascii="Arial" w:hAnsi="Arial" w:cs="Arial"/>
        <w:sz w:val="16"/>
        <w:szCs w:val="16"/>
      </w:rPr>
      <w:t xml:space="preserve"> of </w:t>
    </w:r>
    <w:r w:rsidR="003433AF">
      <w:rPr>
        <w:rFonts w:ascii="Arial" w:hAnsi="Arial" w:cs="Arial"/>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4418" w14:textId="22876F48" w:rsidR="001507C9" w:rsidRDefault="001507C9">
    <w:pPr>
      <w:pStyle w:val="Footer"/>
    </w:pPr>
    <w:r>
      <w:rPr>
        <w:noProof/>
      </w:rPr>
      <mc:AlternateContent>
        <mc:Choice Requires="wps">
          <w:drawing>
            <wp:anchor distT="0" distB="0" distL="114300" distR="114300" simplePos="0" relativeHeight="251660288" behindDoc="0" locked="0" layoutInCell="0" allowOverlap="1" wp14:anchorId="40C4D654" wp14:editId="6F43089A">
              <wp:simplePos x="0" y="0"/>
              <wp:positionH relativeFrom="page">
                <wp:posOffset>0</wp:posOffset>
              </wp:positionH>
              <wp:positionV relativeFrom="page">
                <wp:posOffset>9594215</wp:posOffset>
              </wp:positionV>
              <wp:extent cx="7772400" cy="273050"/>
              <wp:effectExtent l="0" t="0" r="0" b="12700"/>
              <wp:wrapNone/>
              <wp:docPr id="2" name="MSIPCM74ee409e91bb63885661f1db" descr="{&quot;HashCode&quot;:1309525621,&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1AE2C" w14:textId="4B00A0D7" w:rsidR="001507C9" w:rsidRPr="00366981" w:rsidRDefault="001507C9" w:rsidP="001507C9">
                          <w:pPr>
                            <w:rPr>
                              <w:rFonts w:ascii="Calibri" w:hAnsi="Calibri"/>
                              <w:color w:val="FF0000"/>
                              <w:sz w:val="18"/>
                            </w:rPr>
                          </w:pPr>
                          <w:r w:rsidRPr="00366981">
                            <w:rPr>
                              <w:rFonts w:ascii="Calibri" w:hAnsi="Calibri"/>
                              <w:color w:val="FF0000"/>
                              <w:sz w:val="18"/>
                            </w:rPr>
                            <w:t xml:space="preserve">FHLBank San Francisco | </w:t>
                          </w:r>
                          <w:r w:rsidR="00DF7A8A" w:rsidRPr="00366981">
                            <w:rPr>
                              <w:rFonts w:ascii="Calibri" w:hAnsi="Calibri"/>
                              <w:color w:val="FF0000"/>
                              <w:sz w:val="18"/>
                            </w:rPr>
                            <w:t>Personal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C4D654" id="_x0000_t202" coordsize="21600,21600" o:spt="202" path="m,l,21600r21600,l21600,xe">
              <v:stroke joinstyle="miter"/>
              <v:path gradientshapeok="t" o:connecttype="rect"/>
            </v:shapetype>
            <v:shape id="MSIPCM74ee409e91bb63885661f1db" o:spid="_x0000_s1027" type="#_x0000_t202" alt="{&quot;HashCode&quot;:1309525621,&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ZKswIAAFAFAAAOAAAAZHJzL2Uyb0RvYy54bWysVFtv0zAUfkfiP1h+4AmaS29rWTqVToNJ&#10;3VapQ3t2HaeJlPh4trtmIP47x47TweAJ8ZKcm8/lO5fzi7apyZPQpgKZ0WQQUyIkh7yS+4x+vb/6&#10;cEaJsUzmrAYpMvosDL1YvH1zflRzkUIJdS40QSfSzI8qo6W1ah5FhpeiYWYASkhUFqAbZpHV+yjX&#10;7IjemzpK43gSHUHnSgMXxqD0slPShfdfFILbu6IwwpI6o5ib9V/tvzv3jRbnbL7XTJUVD2mwf8ii&#10;YZXEoCdXl8wyctDVH66aimswUNgBhyaCoqi48DVgNUn8qpptyZTwtSA4Rp1gMv/PLb992mhS5RlN&#10;KZGswRbdbK83q5vpSIhRPBOzZLebDM/OxpNJUiT5jpJcGI4Ifn/3eAD78Qsz5Qpy0XHzZBjPxul4&#10;kibvg15U+9IG7XSWDuKgeKhyWwb5JHmRb2rGRSNk/6YzuQKwQnd0cHAtc9EGB8Go0sZu2D4kE+y2&#10;OAQ4ncGyz+seVJDEp5TWouijovCHG46jMnPEaKsQJdt+ghaHvJcbFLqet4Vu3B+7SVCPY/Z8Gi3R&#10;WsJROJ1O01GMKo66dDqMx372opfXCnP/LKAhjsioxqz9RLGntbGYCZr2Ji6YhKuqrv341pIcMzoZ&#10;osvfNPiilvjQ1dDl6ijb7lrf8FMdO8ifsTwN3XYYxa8ckGvmwNS4Dpg2rri9w09RA8aCQFFSgv72&#10;N7mzxylFLSVHXK+MmscD04KS+lri/KZjRMMtpOeQ0J6YJaMRMrteKg/NCnB1E7wiinvS2dq6JwsN&#10;zQOegKULhyomOQbNKM5pR64scqjAE8LFculpXD3F7FpuFXeuHWgO2vv2gWkV8LfYuVvoN5DNX7Wh&#10;s+3gXh4sFJXvkQO4gzPgjmvrWxdOjLsLv/Le6uUQLn4C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Enl2SrMCAABQBQAA&#10;DgAAAAAAAAAAAAAAAAAuAgAAZHJzL2Uyb0RvYy54bWxQSwECLQAUAAYACAAAACEAGAVA3N4AAAAL&#10;AQAADwAAAAAAAAAAAAAAAAANBQAAZHJzL2Rvd25yZXYueG1sUEsFBgAAAAAEAAQA8wAAABgGAAAA&#10;AA==&#10;" o:allowincell="f" filled="f" stroked="f" strokeweight=".5pt">
              <v:textbox inset="20pt,0,,0">
                <w:txbxContent>
                  <w:p w14:paraId="6531AE2C" w14:textId="4B00A0D7" w:rsidR="001507C9" w:rsidRPr="00366981" w:rsidRDefault="001507C9" w:rsidP="001507C9">
                    <w:pPr>
                      <w:rPr>
                        <w:rFonts w:ascii="Calibri" w:hAnsi="Calibri"/>
                        <w:color w:val="FF0000"/>
                        <w:sz w:val="18"/>
                      </w:rPr>
                    </w:pPr>
                    <w:r w:rsidRPr="00366981">
                      <w:rPr>
                        <w:rFonts w:ascii="Calibri" w:hAnsi="Calibri"/>
                        <w:color w:val="FF0000"/>
                        <w:sz w:val="18"/>
                      </w:rPr>
                      <w:t xml:space="preserve">FHLBank San Francisco | </w:t>
                    </w:r>
                    <w:r w:rsidR="00DF7A8A" w:rsidRPr="00366981">
                      <w:rPr>
                        <w:rFonts w:ascii="Calibri" w:hAnsi="Calibri"/>
                        <w:color w:val="FF0000"/>
                        <w:sz w:val="18"/>
                      </w:rPr>
                      <w:t>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24234" w14:textId="77777777" w:rsidR="003433AF" w:rsidRDefault="003433AF">
      <w:r>
        <w:separator/>
      </w:r>
    </w:p>
  </w:footnote>
  <w:footnote w:type="continuationSeparator" w:id="0">
    <w:p w14:paraId="2CB098E1" w14:textId="77777777" w:rsidR="003433AF" w:rsidRDefault="00343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BFBF2D"/>
    <w:multiLevelType w:val="hybridMultilevel"/>
    <w:tmpl w:val="D5D086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42032"/>
    <w:multiLevelType w:val="multilevel"/>
    <w:tmpl w:val="2BF6035A"/>
    <w:lvl w:ilvl="0">
      <w:start w:val="1"/>
      <w:numFmt w:val="decimal"/>
      <w:lvlText w:val="%1."/>
      <w:lvlJc w:val="left"/>
      <w:pPr>
        <w:tabs>
          <w:tab w:val="num" w:pos="576"/>
        </w:tabs>
        <w:ind w:left="576" w:hanging="576"/>
      </w:pPr>
      <w:rPr>
        <w:rFonts w:ascii="Arial" w:hAnsi="Arial" w:hint="default"/>
        <w:b/>
        <w:i w:val="0"/>
        <w:color w:val="auto"/>
        <w:spacing w:val="0"/>
        <w:position w:val="0"/>
        <w:sz w:val="20"/>
        <w:szCs w:val="20"/>
      </w:rPr>
    </w:lvl>
    <w:lvl w:ilvl="1">
      <w:start w:val="1"/>
      <w:numFmt w:val="lowerLetter"/>
      <w:lvlText w:val="(%2)"/>
      <w:lvlJc w:val="left"/>
      <w:pPr>
        <w:tabs>
          <w:tab w:val="num" w:pos="1152"/>
        </w:tabs>
        <w:ind w:left="1152" w:hanging="576"/>
      </w:pPr>
      <w:rPr>
        <w:rFonts w:ascii="Arial" w:hAnsi="Arial" w:hint="default"/>
        <w:b/>
        <w:i w:val="0"/>
        <w:color w:val="auto"/>
        <w:spacing w:val="0"/>
        <w:position w:val="0"/>
        <w:sz w:val="20"/>
        <w:szCs w:val="20"/>
      </w:rPr>
    </w:lvl>
    <w:lvl w:ilvl="2">
      <w:start w:val="1"/>
      <w:numFmt w:val="lowerRoman"/>
      <w:lvlText w:val="(%3)"/>
      <w:lvlJc w:val="left"/>
      <w:pPr>
        <w:tabs>
          <w:tab w:val="num" w:pos="1440"/>
        </w:tabs>
        <w:ind w:left="1440" w:hanging="288"/>
      </w:pPr>
      <w:rPr>
        <w:rFonts w:hint="default"/>
        <w:b w:val="0"/>
        <w:i w:val="0"/>
        <w:spacing w:val="0"/>
        <w:position w:val="0"/>
        <w:sz w:val="20"/>
      </w:rPr>
    </w:lvl>
    <w:lvl w:ilvl="3">
      <w:start w:val="1"/>
      <w:numFmt w:val="lowerLetter"/>
      <w:lvlText w:val="(%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0973394"/>
    <w:multiLevelType w:val="hybridMultilevel"/>
    <w:tmpl w:val="E2A67EC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F036F3"/>
    <w:multiLevelType w:val="hybridMultilevel"/>
    <w:tmpl w:val="F897B1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A6621A"/>
    <w:multiLevelType w:val="hybridMultilevel"/>
    <w:tmpl w:val="EECCBF02"/>
    <w:lvl w:ilvl="0" w:tplc="3BEE6A8C">
      <w:start w:val="1"/>
      <w:numFmt w:val="decimal"/>
      <w:lvlText w:val="%1."/>
      <w:lvlJc w:val="left"/>
      <w:pPr>
        <w:tabs>
          <w:tab w:val="num" w:pos="2160"/>
        </w:tabs>
        <w:ind w:left="2160" w:hanging="1440"/>
      </w:pPr>
      <w:rPr>
        <w:rFonts w:hint="default"/>
      </w:rPr>
    </w:lvl>
    <w:lvl w:ilvl="1" w:tplc="2E1EB608">
      <w:start w:val="1"/>
      <w:numFmt w:val="lowerLetter"/>
      <w:lvlText w:val="(%2)"/>
      <w:lvlJc w:val="left"/>
      <w:pPr>
        <w:tabs>
          <w:tab w:val="num" w:pos="1800"/>
        </w:tabs>
        <w:ind w:left="1800" w:hanging="360"/>
      </w:pPr>
      <w:rPr>
        <w:rFonts w:hint="default"/>
      </w:rPr>
    </w:lvl>
    <w:lvl w:ilvl="2" w:tplc="FD2AD384">
      <w:start w:val="1"/>
      <w:numFmt w:val="lowerRoman"/>
      <w:lvlText w:val="(%3)"/>
      <w:lvlJc w:val="right"/>
      <w:pPr>
        <w:tabs>
          <w:tab w:val="num" w:pos="2520"/>
        </w:tabs>
        <w:ind w:left="2520" w:hanging="18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23A2912"/>
    <w:multiLevelType w:val="hybridMultilevel"/>
    <w:tmpl w:val="8E0CFEB8"/>
    <w:lvl w:ilvl="0" w:tplc="F33853A0">
      <w:start w:val="9"/>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F333082"/>
    <w:multiLevelType w:val="multilevel"/>
    <w:tmpl w:val="2BF6035A"/>
    <w:lvl w:ilvl="0">
      <w:start w:val="1"/>
      <w:numFmt w:val="decimal"/>
      <w:lvlText w:val="%1."/>
      <w:lvlJc w:val="left"/>
      <w:pPr>
        <w:tabs>
          <w:tab w:val="num" w:pos="576"/>
        </w:tabs>
        <w:ind w:left="576" w:hanging="576"/>
      </w:pPr>
      <w:rPr>
        <w:rFonts w:ascii="Arial" w:hAnsi="Arial" w:hint="default"/>
        <w:b/>
        <w:i w:val="0"/>
        <w:color w:val="auto"/>
        <w:spacing w:val="0"/>
        <w:position w:val="0"/>
        <w:sz w:val="20"/>
        <w:szCs w:val="20"/>
      </w:rPr>
    </w:lvl>
    <w:lvl w:ilvl="1">
      <w:start w:val="1"/>
      <w:numFmt w:val="lowerLetter"/>
      <w:lvlText w:val="(%2)"/>
      <w:lvlJc w:val="left"/>
      <w:pPr>
        <w:tabs>
          <w:tab w:val="num" w:pos="1152"/>
        </w:tabs>
        <w:ind w:left="1152" w:hanging="576"/>
      </w:pPr>
      <w:rPr>
        <w:rFonts w:ascii="Arial" w:hAnsi="Arial" w:hint="default"/>
        <w:b/>
        <w:i w:val="0"/>
        <w:color w:val="auto"/>
        <w:spacing w:val="0"/>
        <w:position w:val="0"/>
        <w:sz w:val="20"/>
        <w:szCs w:val="20"/>
      </w:rPr>
    </w:lvl>
    <w:lvl w:ilvl="2">
      <w:start w:val="1"/>
      <w:numFmt w:val="lowerRoman"/>
      <w:lvlText w:val="(%3)"/>
      <w:lvlJc w:val="left"/>
      <w:pPr>
        <w:tabs>
          <w:tab w:val="num" w:pos="1440"/>
        </w:tabs>
        <w:ind w:left="1440" w:hanging="288"/>
      </w:pPr>
      <w:rPr>
        <w:rFonts w:hint="default"/>
        <w:b w:val="0"/>
        <w:i w:val="0"/>
        <w:spacing w:val="0"/>
        <w:position w:val="0"/>
        <w:sz w:val="20"/>
      </w:rPr>
    </w:lvl>
    <w:lvl w:ilvl="3">
      <w:start w:val="1"/>
      <w:numFmt w:val="lowerLetter"/>
      <w:lvlText w:val="(%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815DE1"/>
    <w:multiLevelType w:val="multilevel"/>
    <w:tmpl w:val="8F74C130"/>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5ABA51C0"/>
    <w:multiLevelType w:val="hybridMultilevel"/>
    <w:tmpl w:val="AE4627F2"/>
    <w:lvl w:ilvl="0" w:tplc="D4D0DF78">
      <w:start w:val="1"/>
      <w:numFmt w:val="decimal"/>
      <w:lvlText w:val="%1."/>
      <w:lvlJc w:val="left"/>
      <w:pPr>
        <w:tabs>
          <w:tab w:val="num" w:pos="2160"/>
        </w:tabs>
        <w:ind w:left="2160" w:hanging="1440"/>
      </w:pPr>
      <w:rPr>
        <w:rFonts w:hint="default"/>
      </w:rPr>
    </w:lvl>
    <w:lvl w:ilvl="1" w:tplc="DDC0BFD2">
      <w:start w:val="1"/>
      <w:numFmt w:val="lowerLetter"/>
      <w:lvlText w:val="(%2)"/>
      <w:lvlJc w:val="left"/>
      <w:pPr>
        <w:tabs>
          <w:tab w:val="num" w:pos="1800"/>
        </w:tabs>
        <w:ind w:left="1800" w:hanging="360"/>
      </w:pPr>
      <w:rPr>
        <w:rFonts w:hint="default"/>
      </w:rPr>
    </w:lvl>
    <w:lvl w:ilvl="2" w:tplc="E1B6BB9A">
      <w:start w:val="1"/>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7C930D0"/>
    <w:multiLevelType w:val="multilevel"/>
    <w:tmpl w:val="2BF6035A"/>
    <w:lvl w:ilvl="0">
      <w:start w:val="1"/>
      <w:numFmt w:val="decimal"/>
      <w:lvlText w:val="%1."/>
      <w:lvlJc w:val="left"/>
      <w:pPr>
        <w:tabs>
          <w:tab w:val="num" w:pos="576"/>
        </w:tabs>
        <w:ind w:left="576" w:hanging="576"/>
      </w:pPr>
      <w:rPr>
        <w:rFonts w:ascii="Arial" w:hAnsi="Arial" w:hint="default"/>
        <w:b/>
        <w:i w:val="0"/>
        <w:color w:val="auto"/>
        <w:spacing w:val="0"/>
        <w:position w:val="0"/>
        <w:sz w:val="20"/>
        <w:szCs w:val="20"/>
      </w:rPr>
    </w:lvl>
    <w:lvl w:ilvl="1">
      <w:start w:val="1"/>
      <w:numFmt w:val="lowerLetter"/>
      <w:lvlText w:val="(%2)"/>
      <w:lvlJc w:val="left"/>
      <w:pPr>
        <w:tabs>
          <w:tab w:val="num" w:pos="1152"/>
        </w:tabs>
        <w:ind w:left="1152" w:hanging="576"/>
      </w:pPr>
      <w:rPr>
        <w:rFonts w:ascii="Arial" w:hAnsi="Arial" w:hint="default"/>
        <w:b/>
        <w:i w:val="0"/>
        <w:color w:val="auto"/>
        <w:spacing w:val="0"/>
        <w:position w:val="0"/>
        <w:sz w:val="20"/>
        <w:szCs w:val="20"/>
      </w:rPr>
    </w:lvl>
    <w:lvl w:ilvl="2">
      <w:start w:val="1"/>
      <w:numFmt w:val="lowerRoman"/>
      <w:lvlText w:val="(%3)"/>
      <w:lvlJc w:val="left"/>
      <w:pPr>
        <w:tabs>
          <w:tab w:val="num" w:pos="1440"/>
        </w:tabs>
        <w:ind w:left="1440" w:hanging="288"/>
      </w:pPr>
      <w:rPr>
        <w:rFonts w:hint="default"/>
        <w:b w:val="0"/>
        <w:i w:val="0"/>
        <w:spacing w:val="0"/>
        <w:position w:val="0"/>
        <w:sz w:val="20"/>
      </w:rPr>
    </w:lvl>
    <w:lvl w:ilvl="3">
      <w:start w:val="1"/>
      <w:numFmt w:val="lowerLetter"/>
      <w:lvlText w:val="(%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0"/>
  </w:num>
  <w:num w:numId="3">
    <w:abstractNumId w:val="2"/>
  </w:num>
  <w:num w:numId="4">
    <w:abstractNumId w:val="8"/>
  </w:num>
  <w:num w:numId="5">
    <w:abstractNumId w:val="5"/>
  </w:num>
  <w:num w:numId="6">
    <w:abstractNumId w:val="4"/>
  </w:num>
  <w:num w:numId="7">
    <w:abstractNumId w:val="7"/>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h3YrTL+wJkX4QvyMMX0XKyWhFtllmYxpIYkh45QPCPqfMN7CpILdFji/hrkCv3skzGohh0wvBVvfjx/bisffA==" w:salt="C6SOk2eMaIts/PZtFuZlUA=="/>
  <w:defaultTabStop w:val="720"/>
  <w:drawingGridHorizontalSpacing w:val="120"/>
  <w:displayHorizont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85TrailerType" w:val="100"/>
    <w:docVar w:name="DocStamp_2_DocID" w:val="C:\NrPortbl\ACTIVE\REDDYTG\21649546_4.DOC"/>
    <w:docVar w:name="DocStamp_2_IncludeDate" w:val="False"/>
    <w:docVar w:name="DocStamp_2_IncludeDraftText" w:val="False"/>
    <w:docVar w:name="DocStamp_2_IncludeTime" w:val="False"/>
    <w:docVar w:name="DocStamp_2_InsertDateAsField" w:val="False"/>
    <w:docVar w:name="DocStamp_2_TypeID" w:val="14"/>
    <w:docVar w:name="iTrailerType" w:val="0"/>
    <w:docVar w:name="MPDocID" w:val="A/21649546.4"/>
    <w:docVar w:name="MPDocIDTemplate" w:val="%l/|%n.%v"/>
    <w:docVar w:name="MPDocIDTemplateDefault" w:val="%l/|%n.%v"/>
    <w:docVar w:name="NewDocStampType" w:val="1"/>
    <w:docVar w:name="zzmpFixed_MacPacVersion" w:val="9.0"/>
  </w:docVars>
  <w:rsids>
    <w:rsidRoot w:val="00295829"/>
    <w:rsid w:val="000069A3"/>
    <w:rsid w:val="00014FEC"/>
    <w:rsid w:val="0003154B"/>
    <w:rsid w:val="0005686D"/>
    <w:rsid w:val="000603A9"/>
    <w:rsid w:val="00060A44"/>
    <w:rsid w:val="00071427"/>
    <w:rsid w:val="00096BD4"/>
    <w:rsid w:val="000A09B6"/>
    <w:rsid w:val="000C7B49"/>
    <w:rsid w:val="000E6CA1"/>
    <w:rsid w:val="0011265D"/>
    <w:rsid w:val="0012016F"/>
    <w:rsid w:val="00123381"/>
    <w:rsid w:val="001507C9"/>
    <w:rsid w:val="0015319B"/>
    <w:rsid w:val="001764CE"/>
    <w:rsid w:val="001A1E73"/>
    <w:rsid w:val="001A3AE0"/>
    <w:rsid w:val="001B332B"/>
    <w:rsid w:val="001B3DB9"/>
    <w:rsid w:val="0021549E"/>
    <w:rsid w:val="00223905"/>
    <w:rsid w:val="00225AE5"/>
    <w:rsid w:val="00227810"/>
    <w:rsid w:val="00252337"/>
    <w:rsid w:val="002553E1"/>
    <w:rsid w:val="002704CD"/>
    <w:rsid w:val="002851A4"/>
    <w:rsid w:val="0029250C"/>
    <w:rsid w:val="00295829"/>
    <w:rsid w:val="002C425C"/>
    <w:rsid w:val="00305444"/>
    <w:rsid w:val="00312801"/>
    <w:rsid w:val="003146FD"/>
    <w:rsid w:val="003433AF"/>
    <w:rsid w:val="00366981"/>
    <w:rsid w:val="00384B3D"/>
    <w:rsid w:val="003874BE"/>
    <w:rsid w:val="003A1BD6"/>
    <w:rsid w:val="003A354E"/>
    <w:rsid w:val="003F03F2"/>
    <w:rsid w:val="003F1B16"/>
    <w:rsid w:val="0040581B"/>
    <w:rsid w:val="00412B04"/>
    <w:rsid w:val="00423312"/>
    <w:rsid w:val="004250DF"/>
    <w:rsid w:val="0048660A"/>
    <w:rsid w:val="00497A7A"/>
    <w:rsid w:val="004A1746"/>
    <w:rsid w:val="004E7103"/>
    <w:rsid w:val="00551555"/>
    <w:rsid w:val="00556F00"/>
    <w:rsid w:val="00570448"/>
    <w:rsid w:val="00590258"/>
    <w:rsid w:val="005A5E49"/>
    <w:rsid w:val="005C776B"/>
    <w:rsid w:val="005D4547"/>
    <w:rsid w:val="005E6E68"/>
    <w:rsid w:val="006002A8"/>
    <w:rsid w:val="00606B55"/>
    <w:rsid w:val="00647E10"/>
    <w:rsid w:val="00680DCD"/>
    <w:rsid w:val="00684499"/>
    <w:rsid w:val="00692935"/>
    <w:rsid w:val="006B3419"/>
    <w:rsid w:val="006B4D9E"/>
    <w:rsid w:val="006B4F03"/>
    <w:rsid w:val="006C31E0"/>
    <w:rsid w:val="006C46F9"/>
    <w:rsid w:val="006F0458"/>
    <w:rsid w:val="006F24B3"/>
    <w:rsid w:val="00743B4B"/>
    <w:rsid w:val="00754067"/>
    <w:rsid w:val="00761A3E"/>
    <w:rsid w:val="0076539C"/>
    <w:rsid w:val="00776719"/>
    <w:rsid w:val="007943D5"/>
    <w:rsid w:val="00795CFD"/>
    <w:rsid w:val="007B774B"/>
    <w:rsid w:val="007D3233"/>
    <w:rsid w:val="007E6559"/>
    <w:rsid w:val="007F446D"/>
    <w:rsid w:val="00802732"/>
    <w:rsid w:val="00805175"/>
    <w:rsid w:val="00816D63"/>
    <w:rsid w:val="00827013"/>
    <w:rsid w:val="008312D6"/>
    <w:rsid w:val="00854122"/>
    <w:rsid w:val="00890231"/>
    <w:rsid w:val="00893FA0"/>
    <w:rsid w:val="008B5C18"/>
    <w:rsid w:val="008D2CC9"/>
    <w:rsid w:val="008E0826"/>
    <w:rsid w:val="008E227D"/>
    <w:rsid w:val="008F3987"/>
    <w:rsid w:val="0091032A"/>
    <w:rsid w:val="00915778"/>
    <w:rsid w:val="0094725B"/>
    <w:rsid w:val="0094777C"/>
    <w:rsid w:val="00961962"/>
    <w:rsid w:val="00967618"/>
    <w:rsid w:val="00973A61"/>
    <w:rsid w:val="009C7B63"/>
    <w:rsid w:val="00A076DC"/>
    <w:rsid w:val="00A15C3E"/>
    <w:rsid w:val="00A23BE5"/>
    <w:rsid w:val="00A24311"/>
    <w:rsid w:val="00A87696"/>
    <w:rsid w:val="00A90A24"/>
    <w:rsid w:val="00AA18E3"/>
    <w:rsid w:val="00AB0FA0"/>
    <w:rsid w:val="00AB12F6"/>
    <w:rsid w:val="00AD39AC"/>
    <w:rsid w:val="00AD5974"/>
    <w:rsid w:val="00AD6E8C"/>
    <w:rsid w:val="00AE40EA"/>
    <w:rsid w:val="00AF5136"/>
    <w:rsid w:val="00B27C8B"/>
    <w:rsid w:val="00B34765"/>
    <w:rsid w:val="00B42764"/>
    <w:rsid w:val="00B42839"/>
    <w:rsid w:val="00B57FD1"/>
    <w:rsid w:val="00B7233F"/>
    <w:rsid w:val="00B75624"/>
    <w:rsid w:val="00BB7FF2"/>
    <w:rsid w:val="00BC3275"/>
    <w:rsid w:val="00BC47B6"/>
    <w:rsid w:val="00BD21AA"/>
    <w:rsid w:val="00BF3F8F"/>
    <w:rsid w:val="00C2554A"/>
    <w:rsid w:val="00C6298D"/>
    <w:rsid w:val="00C9380E"/>
    <w:rsid w:val="00CC22E7"/>
    <w:rsid w:val="00CE4C2A"/>
    <w:rsid w:val="00CE66DA"/>
    <w:rsid w:val="00CF3844"/>
    <w:rsid w:val="00D04AC5"/>
    <w:rsid w:val="00D255B1"/>
    <w:rsid w:val="00D46766"/>
    <w:rsid w:val="00D60C5B"/>
    <w:rsid w:val="00D90901"/>
    <w:rsid w:val="00DA6C75"/>
    <w:rsid w:val="00DB124E"/>
    <w:rsid w:val="00DD15F9"/>
    <w:rsid w:val="00DD4D0D"/>
    <w:rsid w:val="00DE407D"/>
    <w:rsid w:val="00DF3DCA"/>
    <w:rsid w:val="00DF7A8A"/>
    <w:rsid w:val="00E02937"/>
    <w:rsid w:val="00E25CC9"/>
    <w:rsid w:val="00E52C66"/>
    <w:rsid w:val="00E66096"/>
    <w:rsid w:val="00E7167C"/>
    <w:rsid w:val="00E80738"/>
    <w:rsid w:val="00EE4FF8"/>
    <w:rsid w:val="00F10B08"/>
    <w:rsid w:val="00F24867"/>
    <w:rsid w:val="00F42018"/>
    <w:rsid w:val="00F46758"/>
    <w:rsid w:val="00F53F3F"/>
    <w:rsid w:val="00F74748"/>
    <w:rsid w:val="00FA0F4B"/>
    <w:rsid w:val="00FA7A30"/>
    <w:rsid w:val="00FC5E84"/>
    <w:rsid w:val="00FC61E5"/>
    <w:rsid w:val="00FE5C0A"/>
    <w:rsid w:val="00FE6238"/>
    <w:rsid w:val="00FE72F6"/>
    <w:rsid w:val="00FF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0FB36F2"/>
  <w15:docId w15:val="{4520A4A8-DACF-495C-B531-32FF6AB4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6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76DC"/>
    <w:pPr>
      <w:widowControl w:val="0"/>
      <w:spacing w:after="240"/>
      <w:ind w:firstLine="1440"/>
    </w:pPr>
  </w:style>
  <w:style w:type="paragraph" w:customStyle="1" w:styleId="BodyTextContinued">
    <w:name w:val="Body Text Continued"/>
    <w:basedOn w:val="BodyText"/>
    <w:next w:val="BodyText"/>
    <w:rsid w:val="00A076DC"/>
    <w:pPr>
      <w:ind w:firstLine="0"/>
    </w:pPr>
    <w:rPr>
      <w:szCs w:val="20"/>
    </w:rPr>
  </w:style>
  <w:style w:type="paragraph" w:styleId="Quote">
    <w:name w:val="Quote"/>
    <w:basedOn w:val="Normal"/>
    <w:next w:val="BodyTextContinued"/>
    <w:qFormat/>
    <w:rsid w:val="00A076DC"/>
    <w:pPr>
      <w:spacing w:after="240"/>
      <w:ind w:left="1440" w:right="1440"/>
    </w:pPr>
    <w:rPr>
      <w:szCs w:val="20"/>
    </w:rPr>
  </w:style>
  <w:style w:type="paragraph" w:customStyle="1" w:styleId="Default">
    <w:name w:val="Default"/>
    <w:rsid w:val="00A076DC"/>
    <w:pPr>
      <w:autoSpaceDE w:val="0"/>
      <w:autoSpaceDN w:val="0"/>
      <w:adjustRightInd w:val="0"/>
    </w:pPr>
    <w:rPr>
      <w:color w:val="000000"/>
      <w:sz w:val="24"/>
      <w:szCs w:val="24"/>
    </w:rPr>
  </w:style>
  <w:style w:type="paragraph" w:styleId="Title">
    <w:name w:val="Title"/>
    <w:basedOn w:val="Default"/>
    <w:next w:val="Default"/>
    <w:qFormat/>
    <w:rsid w:val="00A076DC"/>
    <w:rPr>
      <w:color w:val="auto"/>
    </w:rPr>
  </w:style>
  <w:style w:type="paragraph" w:styleId="Header">
    <w:name w:val="header"/>
    <w:basedOn w:val="Normal"/>
    <w:rsid w:val="00A076DC"/>
    <w:pPr>
      <w:tabs>
        <w:tab w:val="center" w:pos="4320"/>
        <w:tab w:val="right" w:pos="8640"/>
      </w:tabs>
    </w:pPr>
  </w:style>
  <w:style w:type="paragraph" w:styleId="Footer">
    <w:name w:val="footer"/>
    <w:basedOn w:val="Normal"/>
    <w:rsid w:val="00A076DC"/>
    <w:pPr>
      <w:tabs>
        <w:tab w:val="center" w:pos="4320"/>
        <w:tab w:val="right" w:pos="8640"/>
      </w:tabs>
    </w:pPr>
  </w:style>
  <w:style w:type="character" w:customStyle="1" w:styleId="zzmpTrailerItem">
    <w:name w:val="zzmpTrailerItem"/>
    <w:basedOn w:val="DefaultParagraphFont"/>
    <w:rsid w:val="00A076DC"/>
    <w:rPr>
      <w:rFonts w:ascii="Times New Roman" w:hAnsi="Times New Roman" w:cs="Times New Roman"/>
      <w:b w:val="0"/>
      <w:bCs/>
      <w:i w:val="0"/>
      <w:caps w:val="0"/>
      <w:smallCaps w:val="0"/>
      <w:dstrike w:val="0"/>
      <w:noProof/>
      <w:vanish w:val="0"/>
      <w:color w:val="auto"/>
      <w:spacing w:val="0"/>
      <w:position w:val="0"/>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raftStamp">
    <w:name w:val="Draft Stamp"/>
    <w:basedOn w:val="Normal"/>
    <w:rsid w:val="00A076DC"/>
    <w:rPr>
      <w:rFonts w:ascii="Arial" w:hAnsi="Arial"/>
      <w:b/>
      <w:smallCaps/>
      <w:spacing w:val="50"/>
      <w:sz w:val="48"/>
      <w:shd w:val="solid" w:color="auto" w:fill="auto"/>
    </w:rPr>
  </w:style>
  <w:style w:type="character" w:styleId="PageNumber">
    <w:name w:val="page number"/>
    <w:basedOn w:val="DefaultParagraphFont"/>
    <w:rsid w:val="00A076DC"/>
  </w:style>
  <w:style w:type="paragraph" w:styleId="FootnoteText">
    <w:name w:val="footnote text"/>
    <w:basedOn w:val="Normal"/>
    <w:semiHidden/>
    <w:rsid w:val="00A076DC"/>
    <w:rPr>
      <w:sz w:val="20"/>
      <w:szCs w:val="20"/>
    </w:rPr>
  </w:style>
  <w:style w:type="character" w:styleId="FootnoteReference">
    <w:name w:val="footnote reference"/>
    <w:basedOn w:val="DefaultParagraphFont"/>
    <w:semiHidden/>
    <w:rsid w:val="00A076DC"/>
    <w:rPr>
      <w:vertAlign w:val="superscript"/>
    </w:rPr>
  </w:style>
  <w:style w:type="paragraph" w:styleId="BalloonText">
    <w:name w:val="Balloon Text"/>
    <w:basedOn w:val="Normal"/>
    <w:link w:val="BalloonTextChar"/>
    <w:rsid w:val="00761A3E"/>
    <w:rPr>
      <w:rFonts w:ascii="Tahoma" w:hAnsi="Tahoma" w:cs="Tahoma"/>
      <w:sz w:val="16"/>
      <w:szCs w:val="16"/>
    </w:rPr>
  </w:style>
  <w:style w:type="character" w:customStyle="1" w:styleId="BalloonTextChar">
    <w:name w:val="Balloon Text Char"/>
    <w:basedOn w:val="DefaultParagraphFont"/>
    <w:link w:val="BalloonText"/>
    <w:rsid w:val="00761A3E"/>
    <w:rPr>
      <w:rFonts w:ascii="Tahoma" w:hAnsi="Tahoma" w:cs="Tahoma"/>
      <w:sz w:val="16"/>
      <w:szCs w:val="16"/>
    </w:rPr>
  </w:style>
  <w:style w:type="character" w:styleId="CommentReference">
    <w:name w:val="annotation reference"/>
    <w:basedOn w:val="DefaultParagraphFont"/>
    <w:semiHidden/>
    <w:unhideWhenUsed/>
    <w:rsid w:val="001764CE"/>
    <w:rPr>
      <w:sz w:val="16"/>
      <w:szCs w:val="16"/>
    </w:rPr>
  </w:style>
  <w:style w:type="paragraph" w:styleId="CommentText">
    <w:name w:val="annotation text"/>
    <w:basedOn w:val="Normal"/>
    <w:link w:val="CommentTextChar"/>
    <w:semiHidden/>
    <w:unhideWhenUsed/>
    <w:rsid w:val="001764CE"/>
    <w:rPr>
      <w:sz w:val="20"/>
      <w:szCs w:val="20"/>
    </w:rPr>
  </w:style>
  <w:style w:type="character" w:customStyle="1" w:styleId="CommentTextChar">
    <w:name w:val="Comment Text Char"/>
    <w:basedOn w:val="DefaultParagraphFont"/>
    <w:link w:val="CommentText"/>
    <w:semiHidden/>
    <w:rsid w:val="001764CE"/>
  </w:style>
  <w:style w:type="paragraph" w:styleId="CommentSubject">
    <w:name w:val="annotation subject"/>
    <w:basedOn w:val="CommentText"/>
    <w:next w:val="CommentText"/>
    <w:link w:val="CommentSubjectChar"/>
    <w:semiHidden/>
    <w:unhideWhenUsed/>
    <w:rsid w:val="001764CE"/>
    <w:rPr>
      <w:b/>
      <w:bCs/>
    </w:rPr>
  </w:style>
  <w:style w:type="character" w:customStyle="1" w:styleId="CommentSubjectChar">
    <w:name w:val="Comment Subject Char"/>
    <w:basedOn w:val="CommentTextChar"/>
    <w:link w:val="CommentSubject"/>
    <w:semiHidden/>
    <w:rsid w:val="001764CE"/>
    <w:rPr>
      <w:b/>
      <w:bCs/>
    </w:rPr>
  </w:style>
  <w:style w:type="paragraph" w:styleId="Revision">
    <w:name w:val="Revision"/>
    <w:hidden/>
    <w:uiPriority w:val="99"/>
    <w:semiHidden/>
    <w:rsid w:val="00A243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72135">
      <w:bodyDiv w:val="1"/>
      <w:marLeft w:val="0"/>
      <w:marRight w:val="0"/>
      <w:marTop w:val="0"/>
      <w:marBottom w:val="0"/>
      <w:divBdr>
        <w:top w:val="none" w:sz="0" w:space="0" w:color="auto"/>
        <w:left w:val="none" w:sz="0" w:space="0" w:color="auto"/>
        <w:bottom w:val="none" w:sz="0" w:space="0" w:color="auto"/>
        <w:right w:val="none" w:sz="0" w:space="0" w:color="auto"/>
      </w:divBdr>
    </w:div>
    <w:div w:id="1435007079">
      <w:bodyDiv w:val="1"/>
      <w:marLeft w:val="0"/>
      <w:marRight w:val="0"/>
      <w:marTop w:val="0"/>
      <w:marBottom w:val="0"/>
      <w:divBdr>
        <w:top w:val="none" w:sz="0" w:space="0" w:color="auto"/>
        <w:left w:val="none" w:sz="0" w:space="0" w:color="auto"/>
        <w:bottom w:val="none" w:sz="0" w:space="0" w:color="auto"/>
        <w:right w:val="none" w:sz="0" w:space="0" w:color="auto"/>
      </w:divBdr>
    </w:div>
    <w:div w:id="18099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8FD57-B518-402B-847B-99128732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This form document has been prepared to address the minimum retention requirements of the AHP Regulations</vt:lpstr>
    </vt:vector>
  </TitlesOfParts>
  <Company>Federal Home Loan Bank of SF</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document has been prepared to address the minimum retention requirements of the AHP Regulations</dc:title>
  <dc:creator>dapicet</dc:creator>
  <cp:lastModifiedBy>Staulcup, Jeffrey</cp:lastModifiedBy>
  <cp:revision>7</cp:revision>
  <cp:lastPrinted>2014-08-06T16:29:00Z</cp:lastPrinted>
  <dcterms:created xsi:type="dcterms:W3CDTF">2020-10-20T17:05:00Z</dcterms:created>
  <dcterms:modified xsi:type="dcterms:W3CDTF">2020-12-12T00:38:00Z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gFAAsdpvfP9KDXL/Ss4w8GVNwMEhcCu71ykFxIoHx67WAPiNZMeveVdbUrc/9PDKiyk/vI57kaG/PSbC_x000d_
iMq4jamnSJf5NFeBklxXhOSKAgU+JaRQ6gMfrBIa+JpDYfjHOUNkFVb+1vKKtwFkcDBs3HblPxfS_x000d_
fkzBd/OO8vi44b3iXApwKFxTpKwrm9ddM1r2VWP3zsQNLU71pofTW2DhfymY4grazSN8wK/PF2tp_x000d_
Jw10VE3RDDEsJrbFT</vt:lpwstr>
  </property>
  <property fmtid="{D5CDD505-2E9C-101B-9397-08002B2CF9AE}" pid="3" name="MAIL_MSG_ID2">
    <vt:lpwstr>GQjYHqhJNDqj82Kk6KGD6fsiwVwaqcqArmT3tXmAG/jCXIKgWbcMa1LWezP_x000d_
wA8wg/Aj5Cq3R+dqTzdrxxt/G5L4MG8UssatcQ==</vt:lpwstr>
  </property>
  <property fmtid="{D5CDD505-2E9C-101B-9397-08002B2CF9AE}" pid="4" name="RESPONSE_SENDER_NAME">
    <vt:lpwstr>sAAAb0xRtPDW5UuCodwykEemq9tDLmBWF/8vtDrGxYqAdsk=</vt:lpwstr>
  </property>
  <property fmtid="{D5CDD505-2E9C-101B-9397-08002B2CF9AE}" pid="5" name="EMAIL_OWNER_ADDRESS">
    <vt:lpwstr>4AAA4Lxe55UJ0C+nbA/3v671YqRVgtFfX1WnVqnq/99P18EhyhA7mYu1iw==</vt:lpwstr>
  </property>
  <property fmtid="{D5CDD505-2E9C-101B-9397-08002B2CF9AE}" pid="6" name="MSIP_Label_f6b385a4-c4f2-4c8e-b56c-f802145fa077_Enabled">
    <vt:lpwstr>true</vt:lpwstr>
  </property>
  <property fmtid="{D5CDD505-2E9C-101B-9397-08002B2CF9AE}" pid="7" name="MSIP_Label_f6b385a4-c4f2-4c8e-b56c-f802145fa077_SetDate">
    <vt:lpwstr>2020-12-12T00:38:13Z</vt:lpwstr>
  </property>
  <property fmtid="{D5CDD505-2E9C-101B-9397-08002B2CF9AE}" pid="8" name="MSIP_Label_f6b385a4-c4f2-4c8e-b56c-f802145fa077_Method">
    <vt:lpwstr>Privileged</vt:lpwstr>
  </property>
  <property fmtid="{D5CDD505-2E9C-101B-9397-08002B2CF9AE}" pid="9" name="MSIP_Label_f6b385a4-c4f2-4c8e-b56c-f802145fa077_Name">
    <vt:lpwstr>Internal</vt:lpwstr>
  </property>
  <property fmtid="{D5CDD505-2E9C-101B-9397-08002B2CF9AE}" pid="10" name="MSIP_Label_f6b385a4-c4f2-4c8e-b56c-f802145fa077_SiteId">
    <vt:lpwstr>f0780ff9-b2ea-4cc5-aac1-4c940bd78c8c</vt:lpwstr>
  </property>
  <property fmtid="{D5CDD505-2E9C-101B-9397-08002B2CF9AE}" pid="11" name="MSIP_Label_f6b385a4-c4f2-4c8e-b56c-f802145fa077_ActionId">
    <vt:lpwstr>8ea23e6f-9eb3-476c-9b16-35bb030673fb</vt:lpwstr>
  </property>
  <property fmtid="{D5CDD505-2E9C-101B-9397-08002B2CF9AE}" pid="12" name="MSIP_Label_f6b385a4-c4f2-4c8e-b56c-f802145fa077_ContentBits">
    <vt:lpwstr>2</vt:lpwstr>
  </property>
</Properties>
</file>